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bCs/>
          <w:sz w:val="72"/>
          <w:szCs w:val="96"/>
        </w:rPr>
      </w:pPr>
      <w:r>
        <w:drawing>
          <wp:anchor distT="0" distB="0" distL="114300" distR="114300" simplePos="0" relativeHeight="251674624" behindDoc="1" locked="0" layoutInCell="1" allowOverlap="1">
            <wp:simplePos x="0" y="0"/>
            <wp:positionH relativeFrom="column">
              <wp:posOffset>-1011555</wp:posOffset>
            </wp:positionH>
            <wp:positionV relativeFrom="paragraph">
              <wp:posOffset>-986790</wp:posOffset>
            </wp:positionV>
            <wp:extent cx="7677785" cy="10511155"/>
            <wp:effectExtent l="0" t="0" r="18415" b="4445"/>
            <wp:wrapNone/>
            <wp:docPr id="4" name="图片 4" descr="决算封面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决算封面无"/>
                    <pic:cNvPicPr>
                      <a:picLocks noChangeAspect="1"/>
                    </pic:cNvPicPr>
                  </pic:nvPicPr>
                  <pic:blipFill>
                    <a:blip r:embed="rId12"/>
                    <a:stretch>
                      <a:fillRect/>
                    </a:stretch>
                  </pic:blipFill>
                  <pic:spPr>
                    <a:xfrm>
                      <a:off x="0" y="0"/>
                      <a:ext cx="7677785" cy="10511155"/>
                    </a:xfrm>
                    <a:prstGeom prst="rect">
                      <a:avLst/>
                    </a:prstGeom>
                  </pic:spPr>
                </pic:pic>
              </a:graphicData>
            </a:graphic>
          </wp:anchor>
        </w:drawing>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r>
        <mc:AlternateContent>
          <mc:Choice Requires="wps">
            <w:drawing>
              <wp:anchor distT="0" distB="0" distL="114300" distR="114300" simplePos="0" relativeHeight="251679744" behindDoc="0" locked="0" layoutInCell="1" allowOverlap="1">
                <wp:simplePos x="0" y="0"/>
                <wp:positionH relativeFrom="column">
                  <wp:posOffset>1344295</wp:posOffset>
                </wp:positionH>
                <wp:positionV relativeFrom="paragraph">
                  <wp:posOffset>4026535</wp:posOffset>
                </wp:positionV>
                <wp:extent cx="2467610" cy="600075"/>
                <wp:effectExtent l="0" t="0" r="0" b="0"/>
                <wp:wrapNone/>
                <wp:docPr id="2" name="文本框 2"/>
                <wp:cNvGraphicFramePr/>
                <a:graphic xmlns:a="http://schemas.openxmlformats.org/drawingml/2006/main">
                  <a:graphicData uri="http://schemas.microsoft.com/office/word/2010/wordprocessingShape">
                    <wps:wsp>
                      <wps:cNvSpPr txBox="1"/>
                      <wps:spPr>
                        <a:xfrm>
                          <a:off x="2600960" y="9102725"/>
                          <a:ext cx="246761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楷体_GB2312" w:hAnsi="楷体_GB2312" w:eastAsia="楷体_GB2312" w:cs="楷体_GB2312"/>
                                <w:sz w:val="44"/>
                                <w:szCs w:val="52"/>
                              </w:rPr>
                            </w:pPr>
                            <w:r>
                              <w:rPr>
                                <w:rFonts w:hint="eastAsia" w:ascii="楷体_GB2312" w:hAnsi="楷体_GB2312" w:eastAsia="楷体_GB2312" w:cs="楷体_GB2312"/>
                                <w:sz w:val="44"/>
                                <w:szCs w:val="52"/>
                              </w:rPr>
                              <w:t>2021年9月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317.05pt;height:47.25pt;width:194.3pt;z-index:251679744;mso-width-relative:page;mso-height-relative:page;" filled="f" stroked="f" coordsize="21600,21600" o:gfxdata="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KeEv9sAAAALAQAADwAAAAAAAAABACAAAAAiAAAAZHJzL2Rvd25yZXYueG1s&#10;UEsBAhQAFAAAAAgAh07iQGxoopQuAgAAMgQAAA4AAAAAAAAAAQAgAAAAKgEAAGRycy9lMm9Eb2Mu&#10;eG1sUEsFBgAAAAAGAAYAWQEAAMoFAAAAAA==&#10;">
                <v:fill on="f" focussize="0,0"/>
                <v:stroke on="f" weight="0.5pt"/>
                <v:imagedata o:title=""/>
                <o:lock v:ext="edit" aspectratio="f"/>
                <v:textbox>
                  <w:txbxContent>
                    <w:p>
                      <w:pPr>
                        <w:jc w:val="center"/>
                        <w:rPr>
                          <w:rFonts w:ascii="楷体_GB2312" w:hAnsi="楷体_GB2312" w:eastAsia="楷体_GB2312" w:cs="楷体_GB2312"/>
                          <w:sz w:val="44"/>
                          <w:szCs w:val="52"/>
                        </w:rPr>
                      </w:pPr>
                      <w:r>
                        <w:rPr>
                          <w:rFonts w:hint="eastAsia" w:ascii="楷体_GB2312" w:hAnsi="楷体_GB2312" w:eastAsia="楷体_GB2312" w:cs="楷体_GB2312"/>
                          <w:sz w:val="44"/>
                          <w:szCs w:val="52"/>
                        </w:rPr>
                        <w:t>2021年9月</w:t>
                      </w:r>
                    </w:p>
                  </w:txbxContent>
                </v:textbox>
              </v:shape>
            </w:pict>
          </mc:Fallback>
        </mc:AlternateContent>
      </w:r>
    </w:p>
    <w:p>
      <w:pPr>
        <w:snapToGrid w:val="0"/>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headerReference r:id="rId4" w:type="first"/>
          <w:footerReference r:id="rId5" w:type="first"/>
          <w:headerReference r:id="rId3" w:type="default"/>
          <w:pgSz w:w="11906" w:h="16838"/>
          <w:pgMar w:top="2041" w:right="1531" w:bottom="2041" w:left="1531" w:header="851" w:footer="992" w:gutter="0"/>
          <w:cols w:space="0" w:num="1"/>
          <w:titlePg/>
          <w:docGrid w:type="lines" w:linePitch="312" w:charSpace="0"/>
        </w:sectPr>
      </w:pPr>
    </w:p>
    <w:p>
      <w:pPr>
        <w:widowControl/>
        <w:spacing w:line="600" w:lineRule="exact"/>
        <w:jc w:val="left"/>
        <w:rPr>
          <w:rFonts w:ascii="黑体" w:hAnsi="黑体" w:eastAsia="黑体" w:cs="黑体"/>
          <w:bCs/>
          <w:sz w:val="32"/>
          <w:szCs w:val="32"/>
          <w:highlight w:val="yellow"/>
        </w:rPr>
      </w:pPr>
    </w:p>
    <w:p>
      <w:pPr>
        <w:tabs>
          <w:tab w:val="left" w:pos="2728"/>
        </w:tabs>
        <w:ind w:firstLine="720" w:firstLineChars="100"/>
        <w:jc w:val="center"/>
        <w:rPr>
          <w:rFonts w:hint="eastAsia" w:ascii="黑体" w:hAnsi="黑体" w:eastAsia="黑体" w:cs="黑体"/>
          <w:sz w:val="72"/>
          <w:szCs w:val="96"/>
        </w:rPr>
      </w:pPr>
    </w:p>
    <w:p>
      <w:pPr>
        <w:tabs>
          <w:tab w:val="left" w:pos="2728"/>
        </w:tabs>
        <w:ind w:firstLine="210" w:firstLineChars="100"/>
        <w:jc w:val="center"/>
        <w:rPr>
          <w:rFonts w:hint="eastAsia" w:ascii="黑体" w:hAnsi="黑体" w:eastAsia="黑体" w:cs="黑体"/>
          <w:sz w:val="72"/>
          <w:szCs w:val="96"/>
          <w:highlight w:val="yellow"/>
          <w:lang w:eastAsia="zh-CN"/>
        </w:rPr>
      </w:pPr>
      <w:bookmarkStart w:id="0" w:name="_GoBack"/>
      <w:bookmarkEnd w:id="0"/>
      <w:r>
        <mc:AlternateContent>
          <mc:Choice Requires="wps">
            <w:drawing>
              <wp:anchor distT="0" distB="0" distL="114300" distR="114300" simplePos="0" relativeHeight="251660288" behindDoc="0" locked="0" layoutInCell="1" allowOverlap="1">
                <wp:simplePos x="0" y="0"/>
                <wp:positionH relativeFrom="column">
                  <wp:posOffset>962025</wp:posOffset>
                </wp:positionH>
                <wp:positionV relativeFrom="paragraph">
                  <wp:posOffset>120650</wp:posOffset>
                </wp:positionV>
                <wp:extent cx="3846830" cy="2258695"/>
                <wp:effectExtent l="0" t="0" r="0" b="0"/>
                <wp:wrapNone/>
                <wp:docPr id="5" name="文本框 5"/>
                <wp:cNvGraphicFramePr/>
                <a:graphic xmlns:a="http://schemas.openxmlformats.org/drawingml/2006/main">
                  <a:graphicData uri="http://schemas.microsoft.com/office/word/2010/wordprocessingShape">
                    <wps:wsp>
                      <wps:cNvSpPr txBox="1"/>
                      <wps:spPr>
                        <a:xfrm>
                          <a:off x="2600960" y="9102725"/>
                          <a:ext cx="3846830" cy="2258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ascii="楷体_GB2312" w:hAnsi="楷体_GB2312" w:eastAsia="楷体_GB2312" w:cs="楷体_GB2312"/>
                                <w:sz w:val="44"/>
                                <w:szCs w:val="5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75pt;margin-top:9.5pt;height:177.85pt;width:302.9pt;z-index:251660288;mso-width-relative:page;mso-height-relative:page;" filled="f" stroked="f" coordsize="21600,21600" o:gfxdata="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Q9FePaAAAACgEAAA8AAAAAAAAAAQAgAAAAIgAAAGRycy9kb3ducmV2&#10;LnhtbFBLAQIUABQAAAAIAIdO4kArf8dSMwIAADMEAAAOAAAAAAAAAAEAIAAAACkBAABkcnMvZTJv&#10;RG9jLnhtbFBLBQYAAAAABgAGAFkBAADOBQAAAAA=&#10;">
                <v:fill on="f" focussize="0,0"/>
                <v:stroke on="f" weight="0.5pt"/>
                <v:imagedata o:title=""/>
                <o:lock v:ext="edit" aspectratio="f"/>
                <v:textbox>
                  <w:txbxContent>
                    <w:p>
                      <w:pPr>
                        <w:jc w:val="both"/>
                        <w:rPr>
                          <w:rFonts w:ascii="楷体_GB2312" w:hAnsi="楷体_GB2312" w:eastAsia="楷体_GB2312" w:cs="楷体_GB2312"/>
                          <w:sz w:val="44"/>
                          <w:szCs w:val="52"/>
                        </w:rPr>
                      </w:pPr>
                    </w:p>
                  </w:txbxContent>
                </v:textbox>
              </v:shape>
            </w:pict>
          </mc:Fallback>
        </mc:AlternateContent>
      </w:r>
      <w:r>
        <w:rPr>
          <w:rFonts w:hint="eastAsia" w:ascii="黑体" w:hAnsi="黑体" w:eastAsia="黑体" w:cs="黑体"/>
          <w:sz w:val="72"/>
          <w:szCs w:val="96"/>
        </w:rPr>
        <w:t>石家庄市</w:t>
      </w:r>
      <w:r>
        <w:rPr>
          <w:rFonts w:hint="eastAsia" w:ascii="黑体" w:hAnsi="黑体" w:eastAsia="黑体" w:cs="黑体"/>
          <w:sz w:val="72"/>
          <w:szCs w:val="96"/>
          <w:lang w:eastAsia="zh-CN"/>
        </w:rPr>
        <w:t>第</w:t>
      </w:r>
      <w:r>
        <w:rPr>
          <w:rFonts w:hint="eastAsia" w:ascii="黑体" w:hAnsi="黑体" w:eastAsia="黑体" w:cs="黑体"/>
          <w:sz w:val="72"/>
          <w:szCs w:val="96"/>
          <w:lang w:val="en-US" w:eastAsia="zh-CN"/>
        </w:rPr>
        <w:t>四十九</w:t>
      </w:r>
      <w:r>
        <w:rPr>
          <w:rFonts w:hint="eastAsia" w:ascii="黑体" w:hAnsi="黑体" w:eastAsia="黑体" w:cs="黑体"/>
          <w:sz w:val="72"/>
          <w:szCs w:val="96"/>
          <w:lang w:eastAsia="zh-CN"/>
        </w:rPr>
        <w:t>中学</w:t>
      </w:r>
    </w:p>
    <w:p>
      <w:pPr>
        <w:rPr>
          <w:rFonts w:ascii="黑体" w:hAnsi="黑体" w:eastAsia="黑体" w:cs="黑体"/>
          <w:sz w:val="72"/>
          <w:szCs w:val="96"/>
        </w:rPr>
      </w:pPr>
      <w:r>
        <w:rPr>
          <w:rFonts w:hint="eastAsia" w:ascii="黑体" w:hAnsi="黑体" w:eastAsia="黑体" w:cs="黑体"/>
          <w:sz w:val="72"/>
          <w:szCs w:val="96"/>
        </w:rPr>
        <w:t>2020年度部门决算公开文本</w:t>
      </w:r>
    </w:p>
    <w:p>
      <w:pPr>
        <w:spacing w:line="360" w:lineRule="auto"/>
        <w:jc w:val="center"/>
        <w:rPr>
          <w:rFonts w:ascii="黑体" w:hAnsi="黑体" w:eastAsia="黑体" w:cs="黑体"/>
          <w:sz w:val="56"/>
          <w:szCs w:val="72"/>
        </w:rPr>
      </w:pPr>
    </w:p>
    <w:p>
      <w:pPr>
        <w:tabs>
          <w:tab w:val="left" w:pos="2728"/>
        </w:tabs>
        <w:jc w:val="center"/>
        <w:rPr>
          <w:rFonts w:hint="eastAsia" w:ascii="黑体" w:hAnsi="Times New Roman" w:eastAsia="黑体" w:cs="Times New Roman"/>
          <w:sz w:val="48"/>
          <w:szCs w:val="48"/>
        </w:rPr>
      </w:pPr>
    </w:p>
    <w:p>
      <w:pPr>
        <w:tabs>
          <w:tab w:val="left" w:pos="2728"/>
        </w:tabs>
        <w:jc w:val="center"/>
        <w:rPr>
          <w:rFonts w:hint="eastAsia" w:ascii="黑体" w:hAnsi="Times New Roman" w:eastAsia="黑体" w:cs="Times New Roman"/>
          <w:sz w:val="48"/>
          <w:szCs w:val="48"/>
        </w:rPr>
      </w:pPr>
    </w:p>
    <w:p>
      <w:pPr>
        <w:tabs>
          <w:tab w:val="left" w:pos="2728"/>
        </w:tabs>
        <w:jc w:val="center"/>
        <w:rPr>
          <w:rFonts w:hint="eastAsia" w:ascii="黑体" w:hAnsi="Times New Roman" w:eastAsia="黑体" w:cs="Times New Roman"/>
          <w:sz w:val="48"/>
          <w:szCs w:val="48"/>
        </w:rPr>
      </w:pPr>
    </w:p>
    <w:p>
      <w:pPr>
        <w:tabs>
          <w:tab w:val="left" w:pos="2728"/>
        </w:tabs>
        <w:jc w:val="center"/>
        <w:rPr>
          <w:rFonts w:hint="eastAsia" w:ascii="黑体" w:hAnsi="Times New Roman" w:eastAsia="黑体" w:cs="Times New Roman"/>
          <w:sz w:val="48"/>
          <w:szCs w:val="48"/>
        </w:rPr>
      </w:pPr>
    </w:p>
    <w:p>
      <w:pPr>
        <w:tabs>
          <w:tab w:val="left" w:pos="2728"/>
        </w:tabs>
        <w:jc w:val="center"/>
        <w:rPr>
          <w:rFonts w:hint="eastAsia" w:ascii="黑体" w:hAnsi="Times New Roman" w:eastAsia="黑体" w:cs="Times New Roman"/>
          <w:sz w:val="48"/>
          <w:szCs w:val="48"/>
        </w:rPr>
      </w:pPr>
    </w:p>
    <w:p>
      <w:pPr>
        <w:tabs>
          <w:tab w:val="left" w:pos="2728"/>
        </w:tabs>
        <w:jc w:val="center"/>
        <w:rPr>
          <w:rFonts w:hint="eastAsia" w:ascii="黑体" w:hAnsi="Times New Roman" w:eastAsia="黑体" w:cs="Times New Roman"/>
          <w:sz w:val="48"/>
          <w:szCs w:val="48"/>
        </w:rPr>
      </w:pPr>
    </w:p>
    <w:p>
      <w:pPr>
        <w:tabs>
          <w:tab w:val="left" w:pos="2728"/>
        </w:tabs>
        <w:jc w:val="center"/>
        <w:rPr>
          <w:rFonts w:hint="eastAsia" w:ascii="黑体" w:hAnsi="Times New Roman" w:eastAsia="黑体" w:cs="Times New Roman"/>
          <w:sz w:val="48"/>
          <w:szCs w:val="48"/>
        </w:rPr>
      </w:pPr>
    </w:p>
    <w:p>
      <w:pPr>
        <w:pStyle w:val="2"/>
        <w:rPr>
          <w:rFonts w:hint="eastAsia"/>
        </w:rPr>
      </w:pPr>
    </w:p>
    <w:p>
      <w:pPr>
        <w:tabs>
          <w:tab w:val="left" w:pos="2728"/>
        </w:tabs>
        <w:jc w:val="center"/>
        <w:rPr>
          <w:rFonts w:hint="eastAsia" w:ascii="黑体" w:hAnsi="Times New Roman" w:eastAsia="黑体" w:cs="Times New Roman"/>
          <w:sz w:val="48"/>
          <w:szCs w:val="48"/>
        </w:rPr>
      </w:pPr>
    </w:p>
    <w:p>
      <w:pPr>
        <w:tabs>
          <w:tab w:val="left" w:pos="2728"/>
        </w:tabs>
        <w:jc w:val="center"/>
        <w:rPr>
          <w:rFonts w:hint="eastAsia" w:ascii="黑体" w:hAnsi="Times New Roman" w:eastAsia="黑体" w:cs="Times New Roman"/>
          <w:sz w:val="48"/>
          <w:szCs w:val="48"/>
        </w:rPr>
      </w:pPr>
    </w:p>
    <w:p>
      <w:pPr>
        <w:snapToGrid w:val="0"/>
        <w:jc w:val="center"/>
        <w:rPr>
          <w:rFonts w:ascii="楷体_GB2312" w:hAnsi="楷体_GB2312" w:eastAsia="楷体_GB2312" w:cs="楷体_GB2312"/>
          <w:color w:val="000000" w:themeColor="text1"/>
          <w:kern w:val="0"/>
          <w:sz w:val="40"/>
          <w:szCs w:val="40"/>
          <w14:textFill>
            <w14:solidFill>
              <w14:schemeClr w14:val="tx1"/>
            </w14:solidFill>
          </w14:textFill>
        </w:rPr>
        <w:sectPr>
          <w:headerReference r:id="rId7" w:type="first"/>
          <w:footerReference r:id="rId8" w:type="first"/>
          <w:headerReference r:id="rId6" w:type="default"/>
          <w:pgSz w:w="11906" w:h="16838"/>
          <w:pgMar w:top="2098" w:right="1531" w:bottom="1984"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0"/>
          <w:szCs w:val="40"/>
          <w14:textFill>
            <w14:solidFill>
              <w14:schemeClr w14:val="tx1"/>
            </w14:solidFill>
          </w14:textFill>
        </w:rPr>
        <w:t>二〇二一年九月</w:t>
      </w:r>
    </w:p>
    <w:p>
      <w:pPr>
        <w:tabs>
          <w:tab w:val="left" w:pos="2728"/>
        </w:tabs>
        <w:jc w:val="both"/>
        <w:rPr>
          <w:rFonts w:hint="eastAsia" w:ascii="黑体" w:hAnsi="Times New Roman" w:eastAsia="黑体" w:cs="Times New Roman"/>
          <w:sz w:val="48"/>
          <w:szCs w:val="48"/>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pPr>
        <w:widowControl/>
        <w:spacing w:after="160" w:line="580" w:lineRule="exact"/>
        <w:ind w:firstLine="640" w:firstLineChars="200"/>
        <w:rPr>
          <w:rFonts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after="160" w:line="560" w:lineRule="exact"/>
        <w:ind w:firstLine="640" w:firstLineChars="200"/>
        <w:textAlignment w:val="auto"/>
        <w:rPr>
          <w:rFonts w:ascii="Times New Roman" w:hAnsi="Times New Roman" w:eastAsia="仿宋_GB2312" w:cs="Times New Roman"/>
          <w:sz w:val="24"/>
          <w:szCs w:val="32"/>
        </w:rPr>
      </w:pPr>
      <w:r>
        <w:rPr>
          <w:rFonts w:ascii="Times New Roman" w:hAnsi="Times New Roman" w:eastAsia="黑体" w:cs="Times New Roman"/>
          <w:sz w:val="32"/>
          <w:szCs w:val="32"/>
        </w:rPr>
        <w:t>第一部分</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部门概况</w:t>
      </w:r>
    </w:p>
    <w:p>
      <w:pPr>
        <w:keepNext w:val="0"/>
        <w:keepLines w:val="0"/>
        <w:pageBreakBefore w:val="0"/>
        <w:widowControl/>
        <w:kinsoku/>
        <w:wordWrap/>
        <w:overflowPunct/>
        <w:topLinePunct w:val="0"/>
        <w:autoSpaceDE/>
        <w:autoSpaceDN/>
        <w:bidi w:val="0"/>
        <w:adjustRightInd/>
        <w:snapToGrid/>
        <w:spacing w:after="160" w:line="560" w:lineRule="exact"/>
        <w:ind w:firstLine="1273" w:firstLineChars="398"/>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keepNext w:val="0"/>
        <w:keepLines w:val="0"/>
        <w:pageBreakBefore w:val="0"/>
        <w:widowControl/>
        <w:kinsoku/>
        <w:wordWrap/>
        <w:overflowPunct/>
        <w:topLinePunct w:val="0"/>
        <w:autoSpaceDE/>
        <w:autoSpaceDN/>
        <w:bidi w:val="0"/>
        <w:adjustRightInd/>
        <w:snapToGrid/>
        <w:spacing w:after="160" w:line="560" w:lineRule="exact"/>
        <w:ind w:firstLine="1273" w:firstLineChars="398"/>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keepNext w:val="0"/>
        <w:keepLines w:val="0"/>
        <w:pageBreakBefore w:val="0"/>
        <w:widowControl/>
        <w:kinsoku/>
        <w:wordWrap/>
        <w:overflowPunct/>
        <w:topLinePunct w:val="0"/>
        <w:autoSpaceDE/>
        <w:autoSpaceDN/>
        <w:bidi w:val="0"/>
        <w:adjustRightInd/>
        <w:snapToGrid/>
        <w:spacing w:after="160"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第二部分20</w:t>
      </w:r>
      <w:r>
        <w:rPr>
          <w:rFonts w:hint="eastAsia" w:ascii="Times New Roman" w:hAnsi="Times New Roman" w:eastAsia="黑体" w:cs="Times New Roman"/>
          <w:sz w:val="32"/>
          <w:szCs w:val="32"/>
        </w:rPr>
        <w:t>20</w:t>
      </w:r>
      <w:r>
        <w:rPr>
          <w:rFonts w:ascii="Times New Roman" w:hAnsi="Times New Roman" w:eastAsia="黑体" w:cs="Times New Roman"/>
          <w:sz w:val="32"/>
          <w:szCs w:val="32"/>
        </w:rPr>
        <w:t>年部门决算情况说明</w:t>
      </w:r>
    </w:p>
    <w:p>
      <w:pPr>
        <w:keepNext w:val="0"/>
        <w:keepLines w:val="0"/>
        <w:pageBreakBefore w:val="0"/>
        <w:widowControl/>
        <w:kinsoku/>
        <w:wordWrap/>
        <w:overflowPunct/>
        <w:topLinePunct w:val="0"/>
        <w:autoSpaceDE/>
        <w:autoSpaceDN/>
        <w:bidi w:val="0"/>
        <w:adjustRightInd/>
        <w:snapToGrid/>
        <w:spacing w:line="560" w:lineRule="exact"/>
        <w:ind w:left="630" w:leftChars="30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left="630" w:leftChars="30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二、收入决算情况说明</w:t>
      </w:r>
    </w:p>
    <w:p>
      <w:pPr>
        <w:keepNext w:val="0"/>
        <w:keepLines w:val="0"/>
        <w:pageBreakBefore w:val="0"/>
        <w:widowControl/>
        <w:kinsoku/>
        <w:wordWrap/>
        <w:overflowPunct/>
        <w:topLinePunct w:val="0"/>
        <w:autoSpaceDE/>
        <w:autoSpaceDN/>
        <w:bidi w:val="0"/>
        <w:adjustRightInd/>
        <w:snapToGrid/>
        <w:spacing w:line="560" w:lineRule="exact"/>
        <w:ind w:left="630" w:leftChars="30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三、支出决算情况说明</w:t>
      </w:r>
    </w:p>
    <w:p>
      <w:pPr>
        <w:keepNext w:val="0"/>
        <w:keepLines w:val="0"/>
        <w:pageBreakBefore w:val="0"/>
        <w:widowControl/>
        <w:kinsoku/>
        <w:wordWrap/>
        <w:overflowPunct/>
        <w:topLinePunct w:val="0"/>
        <w:autoSpaceDE/>
        <w:autoSpaceDN/>
        <w:bidi w:val="0"/>
        <w:adjustRightInd/>
        <w:snapToGrid/>
        <w:spacing w:line="560" w:lineRule="exact"/>
        <w:ind w:left="630" w:leftChars="30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left="630" w:leftChars="30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五、一般公共预算“三公”经费支出决算情况说明</w:t>
      </w:r>
    </w:p>
    <w:p>
      <w:pPr>
        <w:keepNext w:val="0"/>
        <w:keepLines w:val="0"/>
        <w:pageBreakBefore w:val="0"/>
        <w:widowControl/>
        <w:kinsoku/>
        <w:wordWrap/>
        <w:overflowPunct/>
        <w:topLinePunct w:val="0"/>
        <w:autoSpaceDE/>
        <w:autoSpaceDN/>
        <w:bidi w:val="0"/>
        <w:adjustRightInd/>
        <w:snapToGrid/>
        <w:spacing w:line="560" w:lineRule="exact"/>
        <w:ind w:left="630" w:leftChars="30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六、预算绩效情况说明</w:t>
      </w:r>
    </w:p>
    <w:p>
      <w:pPr>
        <w:keepNext w:val="0"/>
        <w:keepLines w:val="0"/>
        <w:pageBreakBefore w:val="0"/>
        <w:widowControl/>
        <w:kinsoku/>
        <w:wordWrap/>
        <w:overflowPunct/>
        <w:topLinePunct w:val="0"/>
        <w:autoSpaceDE/>
        <w:autoSpaceDN/>
        <w:bidi w:val="0"/>
        <w:adjustRightInd/>
        <w:snapToGrid/>
        <w:spacing w:line="560" w:lineRule="exact"/>
        <w:ind w:left="630" w:leftChars="30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七、机关运行经费情况</w:t>
      </w:r>
    </w:p>
    <w:p>
      <w:pPr>
        <w:keepNext w:val="0"/>
        <w:keepLines w:val="0"/>
        <w:pageBreakBefore w:val="0"/>
        <w:widowControl/>
        <w:kinsoku/>
        <w:wordWrap/>
        <w:overflowPunct/>
        <w:topLinePunct w:val="0"/>
        <w:autoSpaceDE/>
        <w:autoSpaceDN/>
        <w:bidi w:val="0"/>
        <w:adjustRightInd/>
        <w:snapToGrid/>
        <w:spacing w:line="560" w:lineRule="exact"/>
        <w:ind w:left="630" w:leftChars="30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八、政府采购情况</w:t>
      </w:r>
    </w:p>
    <w:p>
      <w:pPr>
        <w:keepNext w:val="0"/>
        <w:keepLines w:val="0"/>
        <w:pageBreakBefore w:val="0"/>
        <w:widowControl/>
        <w:kinsoku/>
        <w:wordWrap/>
        <w:overflowPunct/>
        <w:topLinePunct w:val="0"/>
        <w:autoSpaceDE/>
        <w:autoSpaceDN/>
        <w:bidi w:val="0"/>
        <w:adjustRightInd/>
        <w:snapToGrid/>
        <w:spacing w:line="560" w:lineRule="exact"/>
        <w:ind w:left="630" w:leftChars="30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九、国有资产占用情况</w:t>
      </w:r>
    </w:p>
    <w:p>
      <w:pPr>
        <w:keepNext w:val="0"/>
        <w:keepLines w:val="0"/>
        <w:pageBreakBefore w:val="0"/>
        <w:widowControl/>
        <w:kinsoku/>
        <w:wordWrap/>
        <w:overflowPunct/>
        <w:topLinePunct w:val="0"/>
        <w:autoSpaceDE/>
        <w:autoSpaceDN/>
        <w:bidi w:val="0"/>
        <w:adjustRightInd/>
        <w:snapToGrid/>
        <w:spacing w:after="160" w:line="560" w:lineRule="exact"/>
        <w:ind w:left="64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keepNext w:val="0"/>
        <w:keepLines w:val="0"/>
        <w:pageBreakBefore w:val="0"/>
        <w:widowControl/>
        <w:kinsoku/>
        <w:wordWrap/>
        <w:overflowPunct/>
        <w:topLinePunct w:val="0"/>
        <w:autoSpaceDE/>
        <w:autoSpaceDN/>
        <w:bidi w:val="0"/>
        <w:adjustRightInd/>
        <w:snapToGrid/>
        <w:spacing w:after="160"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名词解释</w:t>
      </w:r>
    </w:p>
    <w:p>
      <w:pPr>
        <w:keepNext w:val="0"/>
        <w:keepLines w:val="0"/>
        <w:pageBreakBefore w:val="0"/>
        <w:widowControl/>
        <w:kinsoku/>
        <w:wordWrap/>
        <w:overflowPunct/>
        <w:topLinePunct w:val="0"/>
        <w:autoSpaceDE/>
        <w:autoSpaceDN/>
        <w:bidi w:val="0"/>
        <w:adjustRightInd/>
        <w:snapToGrid/>
        <w:spacing w:after="160"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w:t>
      </w:r>
      <w:r>
        <w:rPr>
          <w:rFonts w:hint="eastAsia" w:ascii="Times New Roman" w:hAnsi="Times New Roman" w:eastAsia="黑体" w:cs="Times New Roman"/>
          <w:sz w:val="32"/>
          <w:szCs w:val="32"/>
        </w:rPr>
        <w:t>20</w:t>
      </w:r>
      <w:r>
        <w:rPr>
          <w:rFonts w:ascii="Times New Roman" w:hAnsi="Times New Roman" w:eastAsia="黑体" w:cs="Times New Roman"/>
          <w:sz w:val="32"/>
          <w:szCs w:val="32"/>
        </w:rPr>
        <w:t>年度部门决算报表</w:t>
      </w:r>
    </w:p>
    <w:p>
      <w:pPr>
        <w:keepNext w:val="0"/>
        <w:keepLines w:val="0"/>
        <w:pageBreakBefore w:val="0"/>
        <w:widowControl/>
        <w:kinsoku/>
        <w:wordWrap/>
        <w:overflowPunct/>
        <w:topLinePunct w:val="0"/>
        <w:autoSpaceDE/>
        <w:autoSpaceDN/>
        <w:bidi w:val="0"/>
        <w:adjustRightInd/>
        <w:snapToGrid/>
        <w:spacing w:after="160" w:line="560" w:lineRule="exact"/>
        <w:ind w:firstLine="640" w:firstLineChars="200"/>
        <w:textAlignment w:val="auto"/>
        <w:rPr>
          <w:rFonts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after="160" w:line="560" w:lineRule="exact"/>
        <w:ind w:firstLine="640" w:firstLineChars="200"/>
        <w:textAlignment w:val="auto"/>
        <w:rPr>
          <w:rFonts w:ascii="Times New Roman" w:hAnsi="Times New Roman" w:eastAsia="黑体" w:cs="Times New Roman"/>
          <w:sz w:val="32"/>
          <w:szCs w:val="32"/>
        </w:rPr>
      </w:pPr>
    </w:p>
    <w:p>
      <w:pPr>
        <w:tabs>
          <w:tab w:val="left" w:pos="1563"/>
        </w:tabs>
        <w:bidi w:val="0"/>
        <w:jc w:val="left"/>
        <w:rPr>
          <w:lang w:val="en-US" w:eastAsia="zh-CN"/>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sz w:val="72"/>
        </w:rPr>
        <mc:AlternateContent>
          <mc:Choice Requires="wps">
            <w:drawing>
              <wp:anchor distT="0" distB="0" distL="114300" distR="114300" simplePos="0" relativeHeight="251668480" behindDoc="0" locked="0" layoutInCell="1" allowOverlap="1">
                <wp:simplePos x="0" y="0"/>
                <wp:positionH relativeFrom="column">
                  <wp:posOffset>-1239520</wp:posOffset>
                </wp:positionH>
                <wp:positionV relativeFrom="paragraph">
                  <wp:posOffset>2375535</wp:posOffset>
                </wp:positionV>
                <wp:extent cx="7793355" cy="3341370"/>
                <wp:effectExtent l="6350" t="6350" r="10795" b="17780"/>
                <wp:wrapNone/>
                <wp:docPr id="1" name="文本框 1"/>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7F7F7F"/>
                          </a:fgClr>
                          <a:bgClr>
                            <a:srgbClr val="FFFFFF"/>
                          </a:bgClr>
                        </a:pattFill>
                        <a:ln w="12700" cap="flat" cmpd="sng">
                          <a:solidFill>
                            <a:srgbClr val="A5A5A5"/>
                          </a:solidFill>
                          <a:prstDash val="solid"/>
                          <a:miter/>
                          <a:headEnd type="none" w="med" len="med"/>
                          <a:tailEnd type="none" w="med" len="med"/>
                        </a:ln>
                      </wps:spPr>
                      <wps:txbx>
                        <w:txbxContent>
                          <w:p>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第一部分  部门概况</w:t>
                            </w:r>
                          </w:p>
                        </w:txbxContent>
                      </wps:txbx>
                      <wps:bodyPr anchor="ctr" anchorCtr="0" upright="1"/>
                    </wps:wsp>
                  </a:graphicData>
                </a:graphic>
              </wp:anchor>
            </w:drawing>
          </mc:Choice>
          <mc:Fallback>
            <w:pict>
              <v:shape id="_x0000_s1026" o:spid="_x0000_s1026" o:spt="202" type="#_x0000_t202" style="position:absolute;left:0pt;margin-left:-97.6pt;margin-top:187.05pt;height:263.1pt;width:613.65pt;z-index:251668480;v-text-anchor:middle;mso-width-relative:page;mso-height-relative:page;" fillcolor="#7F7F7F" filled="t" stroked="t" coordsize="21600,21600" o:gfxdata="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IPar3AAAAA0BAAAPAAAAAAAAAAEAIAAAACIAAABkcnMvZG93bnJldi54bWxQSwECFAAUAAAACACH&#10;TuJAlSyDGyACAABOBAAADgAAAAAAAAABACAAAAArAQAAZHJzL2Uyb0RvYy54bWxQSwUGAAAAAAYA&#10;BgBZAQAAvQUAAAAA&#10;">
                <v:fill type="pattern" on="t" color2="#FFFFFF" focussize="0,0" r:id="rId13"/>
                <v:stroke weight="1pt" color="#A5A5A5" joinstyle="miter"/>
                <v:imagedata o:title=""/>
                <o:lock v:ext="edit" aspectratio="f"/>
                <v:textbox>
                  <w:txbxContent>
                    <w:p>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第一部分  部门概况</w:t>
                      </w:r>
                    </w:p>
                  </w:txbxContent>
                </v:textbox>
              </v:shape>
            </w:pict>
          </mc:Fallback>
        </mc:AlternateContent>
      </w: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石家庄市第</w:t>
      </w:r>
      <w:r>
        <w:rPr>
          <w:rFonts w:hint="eastAsia" w:ascii="仿宋_GB2312" w:hAnsi="Times New Roman" w:eastAsia="仿宋_GB2312" w:cs="DengXian-Regular"/>
          <w:sz w:val="32"/>
          <w:szCs w:val="32"/>
          <w:lang w:val="en-US" w:eastAsia="zh-CN"/>
        </w:rPr>
        <w:t>四十九</w:t>
      </w:r>
      <w:r>
        <w:rPr>
          <w:rFonts w:hint="eastAsia" w:ascii="仿宋_GB2312" w:hAnsi="Times New Roman" w:eastAsia="仿宋_GB2312" w:cs="DengXian-Regular"/>
          <w:sz w:val="32"/>
          <w:szCs w:val="32"/>
        </w:rPr>
        <w:t>中学是一所完全中学，实施高中、初中学历教育，促进基础教育发展。</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1、全面贯彻、落实党的教育方针，遵循教育教学规律，全面实施素质教育，自觉接受上级教育行政部门的指导和监督，促进学校可持续发展。</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2、依法治校，自觉遵照国家法律、法令、法规管理学校，建章立制，规范办学行为。重视学校精神文明建设，创建校园文化。</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3、全面推进课程教学改革，不断深化教育教学创新，努力创建学校特色，打造学校的品牌。</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4、领导和组织德育工作，坚持以德为首，认真贯彻管理育人、教书育人、服务育人、环境育人的工作方针，全面提高学生的素质。按照上级制定的招生计划招收学生。</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5、贯彻勤俭办学的原则，严格执行预算。</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6、加强领导班子、班主任、教师队伍建设，抓好“人才工程”、组织教师进修、培训，不断提高政治思想、职业道德、专业技能。</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7、抓好党团建工作、老干部及工会工作。</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8、完成上级布置的其他任务。</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从决算编报单位构成看，纳入2020 年度本部门决算汇编范围的独立核算单位（以下简称“单位”）共 1 个，具体情况如下：</w:t>
      </w:r>
    </w:p>
    <w:tbl>
      <w:tblPr>
        <w:tblStyle w:val="7"/>
        <w:tblpPr w:leftFromText="180" w:rightFromText="180" w:vertAnchor="text" w:horzAnchor="page" w:tblpXSpec="center" w:tblpY="10"/>
        <w:tblOverlap w:val="never"/>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378"/>
        <w:gridCol w:w="2552"/>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378"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552"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803"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378" w:type="dxa"/>
          </w:tcPr>
          <w:p>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石家庄市第</w:t>
            </w:r>
            <w:r>
              <w:rPr>
                <w:rFonts w:hint="eastAsia" w:ascii="仿宋_GB2312" w:hAnsi="Calibri" w:eastAsia="仿宋_GB2312" w:cs="ArialUnicodeMS"/>
                <w:kern w:val="0"/>
                <w:sz w:val="28"/>
                <w:szCs w:val="28"/>
                <w:lang w:eastAsia="zh-CN"/>
              </w:rPr>
              <w:t>四十九</w:t>
            </w:r>
            <w:r>
              <w:rPr>
                <w:rFonts w:hint="eastAsia" w:ascii="仿宋_GB2312" w:hAnsi="Calibri" w:eastAsia="仿宋_GB2312" w:cs="ArialUnicodeMS"/>
                <w:kern w:val="0"/>
                <w:sz w:val="28"/>
                <w:szCs w:val="28"/>
              </w:rPr>
              <w:t>中学</w:t>
            </w:r>
          </w:p>
        </w:tc>
        <w:tc>
          <w:tcPr>
            <w:tcW w:w="2552"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财政补助事业单位</w:t>
            </w:r>
          </w:p>
        </w:tc>
        <w:tc>
          <w:tcPr>
            <w:tcW w:w="2803"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财政性资金基本保证</w:t>
            </w:r>
          </w:p>
        </w:tc>
      </w:tr>
    </w:tbl>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sz w:val="72"/>
        </w:rPr>
        <mc:AlternateContent>
          <mc:Choice Requires="wps">
            <w:drawing>
              <wp:anchor distT="0" distB="0" distL="114300" distR="114300" simplePos="0" relativeHeight="251672576" behindDoc="0" locked="0" layoutInCell="1" allowOverlap="1">
                <wp:simplePos x="0" y="0"/>
                <wp:positionH relativeFrom="column">
                  <wp:posOffset>-1149350</wp:posOffset>
                </wp:positionH>
                <wp:positionV relativeFrom="paragraph">
                  <wp:posOffset>1285240</wp:posOffset>
                </wp:positionV>
                <wp:extent cx="7793355" cy="3341370"/>
                <wp:effectExtent l="6350" t="6350" r="10795" b="17780"/>
                <wp:wrapNone/>
                <wp:docPr id="6" name="文本框 6"/>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7F7F7F"/>
                          </a:fgClr>
                          <a:bgClr>
                            <a:srgbClr val="FFFFFF"/>
                          </a:bgClr>
                        </a:pattFill>
                        <a:ln w="12700" cap="flat" cmpd="sng">
                          <a:solidFill>
                            <a:srgbClr val="A5A5A5"/>
                          </a:solidFill>
                          <a:prstDash val="solid"/>
                          <a:miter/>
                          <a:headEnd type="none" w="med" len="med"/>
                          <a:tailEnd type="none" w="med" len="med"/>
                        </a:ln>
                      </wps:spPr>
                      <wps:txbx>
                        <w:txbxContent>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第二部分 </w:t>
                            </w:r>
                          </w:p>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2020年部门决算情况说明</w:t>
                            </w:r>
                          </w:p>
                          <w:p>
                            <w:pPr>
                              <w:widowControl/>
                              <w:jc w:val="center"/>
                            </w:pPr>
                          </w:p>
                          <w:p/>
                        </w:txbxContent>
                      </wps:txbx>
                      <wps:bodyPr anchor="ctr" anchorCtr="0" upright="1"/>
                    </wps:wsp>
                  </a:graphicData>
                </a:graphic>
              </wp:anchor>
            </w:drawing>
          </mc:Choice>
          <mc:Fallback>
            <w:pict>
              <v:shape id="_x0000_s1026" o:spid="_x0000_s1026" o:spt="202" type="#_x0000_t202" style="position:absolute;left:0pt;margin-left:-90.5pt;margin-top:101.2pt;height:263.1pt;width:613.65pt;z-index:251672576;v-text-anchor:middle;mso-width-relative:page;mso-height-relative:page;" fillcolor="#7F7F7F" filled="t" stroked="t" coordsize="21600,21600" o:gfxdata="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HO1dsAAAANAQAADwAAAAAAAAABACAAAAAiAAAAZHJzL2Rvd25yZXYueG1sUEsBAhQAFAAAAAgA&#10;h07iQLrUUXIiAgAATgQAAA4AAAAAAAAAAQAgAAAAKgEAAGRycy9lMm9Eb2MueG1sUEsFBgAAAAAG&#10;AAYAWQEAAL4FAAAAAA==&#10;">
                <v:fill type="pattern" on="t" color2="#FFFFFF" focussize="0,0" r:id="rId13"/>
                <v:stroke weight="1pt" color="#A5A5A5" joinstyle="miter"/>
                <v:imagedata o:title=""/>
                <o:lock v:ext="edit" aspectratio="f"/>
                <v:textbox>
                  <w:txbxContent>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第二部分 </w:t>
                      </w:r>
                    </w:p>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2020年部门决算情况说明</w:t>
                      </w:r>
                    </w:p>
                    <w:p>
                      <w:pPr>
                        <w:widowControl/>
                        <w:jc w:val="center"/>
                      </w:pPr>
                    </w:p>
                    <w:p/>
                  </w:txbxContent>
                </v:textbox>
              </v:shape>
            </w:pict>
          </mc:Fallback>
        </mc:AlternateContent>
      </w: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0"/>
        </w:numPr>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keepNext/>
        <w:keepLines/>
        <w:snapToGrid w:val="0"/>
        <w:spacing w:line="580" w:lineRule="exact"/>
        <w:ind w:left="210" w:leftChars="100"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本单位2020年度收支总计（含结转和结余）</w:t>
      </w:r>
      <w:r>
        <w:rPr>
          <w:rFonts w:hint="eastAsia" w:ascii="仿宋_GB2312" w:hAnsi="Times New Roman" w:eastAsia="仿宋_GB2312" w:cs="DengXian-Regular"/>
          <w:sz w:val="32"/>
          <w:szCs w:val="32"/>
          <w:lang w:val="en-US" w:eastAsia="zh-CN"/>
        </w:rPr>
        <w:t>3782.26</w:t>
      </w:r>
      <w:r>
        <w:rPr>
          <w:rFonts w:hint="eastAsia" w:ascii="仿宋_GB2312" w:hAnsi="Times New Roman" w:eastAsia="仿宋_GB2312" w:cs="DengXian-Regular"/>
          <w:sz w:val="32"/>
          <w:szCs w:val="32"/>
        </w:rPr>
        <w:t>万元。与2019年度决算相比，收支各减少</w:t>
      </w:r>
      <w:r>
        <w:rPr>
          <w:rFonts w:hint="eastAsia" w:ascii="仿宋_GB2312" w:hAnsi="Times New Roman" w:eastAsia="仿宋_GB2312" w:cs="DengXian-Regular"/>
          <w:sz w:val="32"/>
          <w:szCs w:val="32"/>
          <w:lang w:val="en-US" w:eastAsia="zh-CN"/>
        </w:rPr>
        <w:t>279.66</w:t>
      </w:r>
      <w:r>
        <w:rPr>
          <w:rFonts w:hint="eastAsia" w:ascii="仿宋_GB2312" w:hAnsi="Times New Roman" w:eastAsia="仿宋_GB2312" w:cs="DengXian-Regular"/>
          <w:sz w:val="32"/>
          <w:szCs w:val="32"/>
        </w:rPr>
        <w:t>万元，减少</w:t>
      </w:r>
      <w:r>
        <w:rPr>
          <w:rFonts w:hint="eastAsia" w:ascii="仿宋_GB2312" w:hAnsi="Times New Roman" w:eastAsia="仿宋_GB2312" w:cs="DengXian-Regular"/>
          <w:sz w:val="32"/>
          <w:szCs w:val="32"/>
          <w:lang w:val="en-US" w:eastAsia="zh-CN"/>
        </w:rPr>
        <w:t>6.88</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受疫情影响安排专项资金减少及</w:t>
      </w:r>
      <w:r>
        <w:rPr>
          <w:rFonts w:hint="eastAsia" w:ascii="仿宋_GB2312" w:hAnsi="Times New Roman" w:eastAsia="仿宋_GB2312" w:cs="DengXian-Regular"/>
          <w:sz w:val="32"/>
          <w:szCs w:val="32"/>
        </w:rPr>
        <w:t>年初结转结余</w:t>
      </w:r>
      <w:r>
        <w:rPr>
          <w:rFonts w:hint="eastAsia" w:ascii="仿宋_GB2312" w:hAnsi="Times New Roman" w:eastAsia="仿宋_GB2312" w:cs="DengXian-Regular"/>
          <w:sz w:val="32"/>
          <w:szCs w:val="32"/>
          <w:lang w:eastAsia="zh-CN"/>
        </w:rPr>
        <w:t>资金</w:t>
      </w:r>
      <w:r>
        <w:rPr>
          <w:rFonts w:hint="eastAsia" w:ascii="仿宋_GB2312" w:hAnsi="Times New Roman" w:eastAsia="仿宋_GB2312" w:cs="DengXian-Regular"/>
          <w:sz w:val="32"/>
          <w:szCs w:val="32"/>
        </w:rPr>
        <w:t>减少。</w:t>
      </w:r>
    </w:p>
    <w:p>
      <w:pPr>
        <w:pStyle w:val="2"/>
      </w:pPr>
      <w:r>
        <w:rPr>
          <w:rFonts w:hint="default" w:ascii="仿宋_GB2312" w:hAnsi="Times New Roman" w:eastAsia="仿宋_GB2312" w:cs="DengXian-Regular"/>
          <w:sz w:val="32"/>
          <w:szCs w:val="32"/>
          <w:lang w:val="en-US"/>
        </w:rPr>
        <w:drawing>
          <wp:inline distT="0" distB="0" distL="114300" distR="114300">
            <wp:extent cx="5080000" cy="3810000"/>
            <wp:effectExtent l="4445" t="4445" r="825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adjustRightInd w:val="0"/>
        <w:snapToGrid w:val="0"/>
        <w:spacing w:line="580" w:lineRule="exact"/>
        <w:ind w:firstLine="640" w:firstLineChars="200"/>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本单位2020年度本年收入合计</w:t>
      </w:r>
      <w:r>
        <w:rPr>
          <w:rFonts w:hint="eastAsia" w:ascii="仿宋_GB2312" w:hAnsi="Times New Roman" w:eastAsia="仿宋_GB2312" w:cs="DengXian-Regular"/>
          <w:sz w:val="32"/>
          <w:szCs w:val="32"/>
          <w:lang w:val="en-US" w:eastAsia="zh-CN"/>
        </w:rPr>
        <w:t>3697.52</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3680.52</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99.54</w:t>
      </w:r>
      <w:r>
        <w:rPr>
          <w:rFonts w:hint="eastAsia" w:ascii="仿宋_GB2312" w:hAnsi="Times New Roman" w:eastAsia="仿宋_GB2312" w:cs="DengXian-Regular"/>
          <w:sz w:val="32"/>
          <w:szCs w:val="32"/>
        </w:rPr>
        <w:t>%；事业收入</w:t>
      </w:r>
      <w:r>
        <w:rPr>
          <w:rFonts w:hint="eastAsia" w:ascii="仿宋_GB2312" w:hAnsi="Times New Roman" w:eastAsia="仿宋_GB2312" w:cs="DengXian-Regular"/>
          <w:sz w:val="32"/>
          <w:szCs w:val="32"/>
          <w:lang w:val="en-US" w:eastAsia="zh-CN"/>
        </w:rPr>
        <w:t>17</w:t>
      </w:r>
      <w:r>
        <w:rPr>
          <w:rFonts w:hint="eastAsia" w:ascii="仿宋_GB2312" w:hAnsi="Times New Roman" w:eastAsia="仿宋_GB2312" w:cs="DengXian-Regular"/>
          <w:sz w:val="32"/>
          <w:szCs w:val="32"/>
        </w:rPr>
        <w:t>万元，占0.</w:t>
      </w:r>
      <w:r>
        <w:rPr>
          <w:rFonts w:hint="eastAsia" w:ascii="仿宋_GB2312" w:hAnsi="Times New Roman" w:eastAsia="仿宋_GB2312" w:cs="DengXian-Regular"/>
          <w:sz w:val="32"/>
          <w:szCs w:val="32"/>
          <w:lang w:val="en-US" w:eastAsia="zh-CN"/>
        </w:rPr>
        <w:t>46</w:t>
      </w:r>
      <w:r>
        <w:rPr>
          <w:rFonts w:hint="eastAsia" w:ascii="仿宋_GB2312" w:hAnsi="Times New Roman" w:eastAsia="仿宋_GB2312" w:cs="DengXian-Regular"/>
          <w:sz w:val="32"/>
          <w:szCs w:val="32"/>
        </w:rPr>
        <w:t>%。如图所示：</w:t>
      </w:r>
    </w:p>
    <w:p>
      <w:pPr>
        <w:adjustRightInd w:val="0"/>
        <w:snapToGrid w:val="0"/>
        <w:rPr>
          <w:rFonts w:ascii="仿宋_GB2312" w:hAnsi="Times New Roman" w:eastAsia="仿宋_GB2312" w:cs="DengXian-Regular"/>
          <w:sz w:val="32"/>
          <w:szCs w:val="32"/>
        </w:rPr>
      </w:pPr>
    </w:p>
    <w:p>
      <w:pPr>
        <w:adjustRightInd w:val="0"/>
        <w:snapToGrid w:val="0"/>
        <w:rPr>
          <w:rFonts w:ascii="仿宋_GB2312" w:hAnsi="Times New Roman" w:eastAsia="仿宋_GB2312" w:cs="DengXian-Regular"/>
          <w:sz w:val="32"/>
          <w:szCs w:val="32"/>
        </w:rPr>
      </w:pPr>
    </w:p>
    <w:p>
      <w:pPr>
        <w:adjustRightInd w:val="0"/>
        <w:snapToGrid w:val="0"/>
      </w:pPr>
      <w:r>
        <w:drawing>
          <wp:inline distT="0" distB="0" distL="114300" distR="114300">
            <wp:extent cx="5085080" cy="2618105"/>
            <wp:effectExtent l="0" t="0" r="7620" b="1079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本单位2020年度本年支出合计</w:t>
      </w:r>
      <w:r>
        <w:rPr>
          <w:rFonts w:hint="eastAsia" w:ascii="仿宋_GB2312" w:hAnsi="Times New Roman" w:eastAsia="仿宋_GB2312" w:cs="DengXian-Regular"/>
          <w:sz w:val="32"/>
          <w:szCs w:val="32"/>
          <w:lang w:val="en-US" w:eastAsia="zh-CN"/>
        </w:rPr>
        <w:t>3734.34</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3394.69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90.9</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339.65</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9.1</w:t>
      </w:r>
      <w:r>
        <w:rPr>
          <w:rFonts w:hint="eastAsia" w:ascii="仿宋_GB2312" w:hAnsi="Times New Roman" w:eastAsia="仿宋_GB2312" w:cs="DengXian-Regular"/>
          <w:sz w:val="32"/>
          <w:szCs w:val="32"/>
        </w:rPr>
        <w:t>%。如图所示：</w:t>
      </w:r>
    </w:p>
    <w:p>
      <w:pPr>
        <w:adjustRightInd w:val="0"/>
        <w:snapToGrid w:val="0"/>
        <w:rPr>
          <w:rFonts w:hint="eastAsia" w:ascii="仿宋_GB2312" w:hAnsi="Times New Roman" w:eastAsia="仿宋_GB2312" w:cs="DengXian-Regular"/>
          <w:sz w:val="32"/>
          <w:szCs w:val="32"/>
          <w:lang w:eastAsia="zh-CN"/>
        </w:rPr>
      </w:pPr>
      <w:r>
        <w:drawing>
          <wp:inline distT="0" distB="0" distL="114300" distR="114300">
            <wp:extent cx="5185410" cy="1990725"/>
            <wp:effectExtent l="0" t="0" r="8890" b="3175"/>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adjustRightInd w:val="0"/>
        <w:snapToGrid w:val="0"/>
        <w:rPr>
          <w:rFonts w:ascii="仿宋_GB2312" w:hAnsi="Times New Roman" w:eastAsia="仿宋_GB2312" w:cs="DengXian-Regular"/>
          <w:sz w:val="32"/>
          <w:szCs w:val="32"/>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（一）财政拨款收支与2019年度决算对比情况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本单位2020年度形成的财政拨款收支均为一般公共预算财政拨款，其中本年收入</w:t>
      </w:r>
      <w:r>
        <w:rPr>
          <w:rFonts w:hint="eastAsia" w:ascii="仿宋_GB2312" w:hAnsi="Times New Roman" w:eastAsia="仿宋_GB2312" w:cs="DengXian-Regular"/>
          <w:sz w:val="32"/>
          <w:szCs w:val="32"/>
          <w:lang w:val="en-US" w:eastAsia="zh-CN"/>
        </w:rPr>
        <w:t>3680.52</w:t>
      </w:r>
      <w:r>
        <w:rPr>
          <w:rFonts w:hint="eastAsia" w:ascii="仿宋_GB2312" w:hAnsi="Times New Roman" w:eastAsia="仿宋_GB2312" w:cs="DengXian-Regular"/>
          <w:sz w:val="32"/>
          <w:szCs w:val="32"/>
        </w:rPr>
        <w:t>万元,比2019年度</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lang w:val="en-US" w:eastAsia="zh-CN"/>
        </w:rPr>
        <w:t>216.35</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lang w:val="en-US" w:eastAsia="zh-CN"/>
        </w:rPr>
        <w:t>6.25</w:t>
      </w:r>
      <w:r>
        <w:rPr>
          <w:rFonts w:hint="eastAsia" w:ascii="仿宋_GB2312" w:hAnsi="Times New Roman" w:eastAsia="仿宋_GB2312" w:cs="DengXian-Regular"/>
          <w:sz w:val="32"/>
          <w:szCs w:val="32"/>
        </w:rPr>
        <w:t>%，主要是项目资金</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3723.39</w:t>
      </w:r>
      <w:r>
        <w:rPr>
          <w:rFonts w:hint="eastAsia" w:ascii="仿宋_GB2312" w:hAnsi="Times New Roman" w:eastAsia="仿宋_GB2312" w:cs="DengXian-Regular"/>
          <w:sz w:val="32"/>
          <w:szCs w:val="32"/>
        </w:rPr>
        <w:t>万元，比2019年度减少</w:t>
      </w:r>
      <w:r>
        <w:rPr>
          <w:rFonts w:hint="eastAsia" w:ascii="仿宋_GB2312" w:hAnsi="Times New Roman" w:eastAsia="仿宋_GB2312" w:cs="DengXian-Regular"/>
          <w:sz w:val="32"/>
          <w:szCs w:val="32"/>
          <w:lang w:val="en-US" w:eastAsia="zh-CN"/>
        </w:rPr>
        <w:t>98.8</w:t>
      </w:r>
      <w:r>
        <w:rPr>
          <w:rFonts w:hint="eastAsia" w:ascii="仿宋_GB2312" w:hAnsi="Times New Roman" w:eastAsia="仿宋_GB2312" w:cs="DengXian-Regular"/>
          <w:sz w:val="32"/>
          <w:szCs w:val="32"/>
        </w:rPr>
        <w:t>万元，减少</w:t>
      </w:r>
      <w:r>
        <w:rPr>
          <w:rFonts w:hint="eastAsia" w:ascii="仿宋_GB2312" w:hAnsi="Times New Roman" w:eastAsia="仿宋_GB2312" w:cs="DengXian-Regular"/>
          <w:sz w:val="32"/>
          <w:szCs w:val="32"/>
          <w:lang w:val="en-US" w:eastAsia="zh-CN"/>
        </w:rPr>
        <w:t>2.58</w:t>
      </w:r>
      <w:r>
        <w:rPr>
          <w:rFonts w:hint="eastAsia" w:ascii="仿宋_GB2312" w:hAnsi="Times New Roman" w:eastAsia="仿宋_GB2312" w:cs="DengXian-Regular"/>
          <w:sz w:val="32"/>
          <w:szCs w:val="32"/>
        </w:rPr>
        <w:t>%，主要是2020年初财政拨款结转减少。</w:t>
      </w:r>
      <w:r>
        <w:rPr>
          <w:rFonts w:hint="eastAsia" w:ascii="仿宋_GB2312" w:hAnsi="Times New Roman" w:eastAsia="仿宋_GB2312" w:cs="DengXian-Regular"/>
          <w:sz w:val="32"/>
          <w:szCs w:val="32"/>
        </w:rPr>
        <w:tab/>
      </w:r>
      <w:r>
        <w:rPr>
          <w:rFonts w:hint="eastAsia" w:ascii="仿宋_GB2312" w:hAnsi="Times New Roman" w:eastAsia="仿宋_GB2312" w:cs="DengXian-Regular"/>
          <w:sz w:val="32"/>
          <w:szCs w:val="32"/>
        </w:rPr>
        <w:tab/>
      </w: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本单位2020年度一般公共预算财政拨款收入</w:t>
      </w:r>
      <w:r>
        <w:rPr>
          <w:rFonts w:hint="eastAsia" w:ascii="仿宋_GB2312" w:hAnsi="Times New Roman" w:eastAsia="仿宋_GB2312" w:cs="DengXian-Regular"/>
          <w:sz w:val="32"/>
          <w:szCs w:val="32"/>
          <w:lang w:val="en-US" w:eastAsia="zh-CN"/>
        </w:rPr>
        <w:t>3680.52</w:t>
      </w:r>
      <w:r>
        <w:rPr>
          <w:rFonts w:hint="eastAsia" w:ascii="仿宋_GB2312" w:hAnsi="Times New Roman" w:eastAsia="仿宋_GB2312" w:cs="DengXian-Regular"/>
          <w:sz w:val="32"/>
          <w:szCs w:val="32"/>
        </w:rPr>
        <w:t>万元，比年初预算增加</w:t>
      </w:r>
      <w:r>
        <w:rPr>
          <w:rFonts w:hint="eastAsia" w:ascii="仿宋_GB2312" w:hAnsi="Times New Roman" w:eastAsia="仿宋_GB2312" w:cs="DengXian-Regular"/>
          <w:sz w:val="32"/>
          <w:szCs w:val="32"/>
          <w:lang w:val="en-US" w:eastAsia="zh-CN"/>
        </w:rPr>
        <w:t>146.47</w:t>
      </w:r>
      <w:r>
        <w:rPr>
          <w:rFonts w:hint="eastAsia" w:ascii="仿宋_GB2312" w:hAnsi="Times New Roman" w:eastAsia="仿宋_GB2312" w:cs="DengXian-Regular"/>
          <w:sz w:val="32"/>
          <w:szCs w:val="32"/>
        </w:rPr>
        <w:t>万元，决算数大于预算数主要原因是：有的人员经费是按财政拨款结转—归集调入拨入的。本年支出</w:t>
      </w:r>
      <w:r>
        <w:rPr>
          <w:rFonts w:hint="eastAsia" w:ascii="仿宋_GB2312" w:hAnsi="Times New Roman" w:eastAsia="仿宋_GB2312" w:cs="DengXian-Regular"/>
          <w:sz w:val="32"/>
          <w:szCs w:val="32"/>
          <w:lang w:val="en-US" w:eastAsia="zh-CN"/>
        </w:rPr>
        <w:t>3723.39</w:t>
      </w:r>
      <w:r>
        <w:rPr>
          <w:rFonts w:hint="eastAsia" w:ascii="仿宋_GB2312" w:hAnsi="Times New Roman" w:eastAsia="仿宋_GB2312" w:cs="DengXian-Regular"/>
          <w:sz w:val="32"/>
          <w:szCs w:val="32"/>
        </w:rPr>
        <w:t>万元，比年初预算增加</w:t>
      </w:r>
      <w:r>
        <w:rPr>
          <w:rFonts w:hint="eastAsia" w:ascii="仿宋_GB2312" w:hAnsi="Times New Roman" w:eastAsia="仿宋_GB2312" w:cs="DengXian-Regular"/>
          <w:sz w:val="32"/>
          <w:szCs w:val="32"/>
          <w:lang w:val="en-US" w:eastAsia="zh-CN"/>
        </w:rPr>
        <w:t>189.34</w:t>
      </w:r>
      <w:r>
        <w:rPr>
          <w:rFonts w:hint="eastAsia" w:ascii="仿宋_GB2312" w:hAnsi="Times New Roman" w:eastAsia="仿宋_GB2312" w:cs="DengXian-Regular"/>
          <w:sz w:val="32"/>
          <w:szCs w:val="32"/>
        </w:rPr>
        <w:t>万元，原因为年初学校未作项目支出预算，由教育局统一做。</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2020 年度财政拨款支出</w:t>
      </w:r>
      <w:r>
        <w:rPr>
          <w:rFonts w:hint="eastAsia" w:ascii="仿宋_GB2312" w:hAnsi="Times New Roman" w:eastAsia="仿宋_GB2312" w:cs="DengXian-Regular"/>
          <w:sz w:val="32"/>
          <w:szCs w:val="32"/>
          <w:lang w:val="en-US" w:eastAsia="zh-CN"/>
        </w:rPr>
        <w:t>3723.39</w:t>
      </w:r>
      <w:r>
        <w:rPr>
          <w:rFonts w:hint="eastAsia" w:ascii="仿宋_GB2312" w:hAnsi="Times New Roman" w:eastAsia="仿宋_GB2312" w:cs="DengXian-Regular"/>
          <w:sz w:val="32"/>
          <w:szCs w:val="32"/>
        </w:rPr>
        <w:t>万元，教育（类）支出</w:t>
      </w:r>
      <w:r>
        <w:rPr>
          <w:rFonts w:hint="eastAsia" w:ascii="仿宋_GB2312" w:hAnsi="Times New Roman" w:eastAsia="仿宋_GB2312" w:cs="DengXian-Regular"/>
          <w:sz w:val="32"/>
          <w:szCs w:val="32"/>
          <w:lang w:val="en-US" w:eastAsia="zh-CN"/>
        </w:rPr>
        <w:t>3723.39</w:t>
      </w:r>
      <w:r>
        <w:rPr>
          <w:rFonts w:hint="eastAsia" w:ascii="仿宋_GB2312" w:hAnsi="Times New Roman" w:eastAsia="仿宋_GB2312" w:cs="DengXian-Regular"/>
          <w:sz w:val="32"/>
          <w:szCs w:val="32"/>
        </w:rPr>
        <w:t>万元，占100%。其中基本支出</w:t>
      </w:r>
      <w:r>
        <w:rPr>
          <w:rFonts w:hint="eastAsia" w:ascii="仿宋_GB2312" w:hAnsi="Times New Roman" w:eastAsia="仿宋_GB2312" w:cs="DengXian-Regular"/>
          <w:sz w:val="32"/>
          <w:szCs w:val="32"/>
          <w:lang w:val="en-US" w:eastAsia="zh-CN"/>
        </w:rPr>
        <w:t>3384.01</w:t>
      </w:r>
      <w:r>
        <w:rPr>
          <w:rFonts w:hint="eastAsia" w:ascii="仿宋_GB2312" w:hAnsi="Times New Roman" w:eastAsia="仿宋_GB2312" w:cs="DengXian-Regular"/>
          <w:sz w:val="32"/>
          <w:szCs w:val="32"/>
        </w:rPr>
        <w:t>万元，项目支出</w:t>
      </w:r>
      <w:r>
        <w:rPr>
          <w:rFonts w:hint="eastAsia" w:ascii="仿宋_GB2312" w:hAnsi="Times New Roman" w:eastAsia="仿宋_GB2312" w:cs="DengXian-Regular"/>
          <w:sz w:val="32"/>
          <w:szCs w:val="32"/>
          <w:lang w:val="en-US" w:eastAsia="zh-CN"/>
        </w:rPr>
        <w:t>339.38</w:t>
      </w:r>
      <w:r>
        <w:rPr>
          <w:rFonts w:hint="eastAsia" w:ascii="仿宋_GB2312" w:hAnsi="Times New Roman" w:eastAsia="仿宋_GB2312" w:cs="DengXian-Regular"/>
          <w:sz w:val="32"/>
          <w:szCs w:val="32"/>
        </w:rPr>
        <w:t>万元。</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600" w:lineRule="exact"/>
        <w:ind w:firstLine="640" w:firstLineChars="200"/>
        <w:rPr>
          <w:rFonts w:ascii="仿宋_GB2312" w:hAnsi="Times New Roman" w:eastAsia="仿宋_GB2312" w:cs="DengXian-Regular"/>
          <w:color w:val="000000" w:themeColor="text1"/>
          <w:sz w:val="32"/>
          <w:szCs w:val="32"/>
          <w14:textFill>
            <w14:solidFill>
              <w14:schemeClr w14:val="tx1"/>
            </w14:solidFill>
          </w14:textFill>
        </w:rPr>
      </w:pPr>
      <w:r>
        <w:rPr>
          <w:rFonts w:hint="eastAsia" w:ascii="仿宋_GB2312" w:hAnsi="Times New Roman" w:eastAsia="仿宋_GB2312" w:cs="DengXian-Regular"/>
          <w:color w:val="000000" w:themeColor="text1"/>
          <w:sz w:val="32"/>
          <w:szCs w:val="32"/>
          <w14:textFill>
            <w14:solidFill>
              <w14:schemeClr w14:val="tx1"/>
            </w14:solidFill>
          </w14:textFill>
        </w:rPr>
        <w:t>2020年度财政拨款基本支出</w:t>
      </w:r>
      <w:r>
        <w:rPr>
          <w:rFonts w:hint="eastAsia" w:ascii="仿宋_GB2312" w:hAnsi="Times New Roman" w:eastAsia="仿宋_GB2312" w:cs="DengXian-Regular"/>
          <w:color w:val="000000" w:themeColor="text1"/>
          <w:sz w:val="32"/>
          <w:szCs w:val="32"/>
          <w:lang w:val="en-US" w:eastAsia="zh-CN"/>
          <w14:textFill>
            <w14:solidFill>
              <w14:schemeClr w14:val="tx1"/>
            </w14:solidFill>
          </w14:textFill>
        </w:rPr>
        <w:t>3384.01</w:t>
      </w:r>
      <w:r>
        <w:rPr>
          <w:rFonts w:hint="eastAsia" w:ascii="仿宋_GB2312" w:hAnsi="Times New Roman" w:eastAsia="仿宋_GB2312" w:cs="DengXian-Regular"/>
          <w:color w:val="000000" w:themeColor="text1"/>
          <w:sz w:val="32"/>
          <w:szCs w:val="32"/>
          <w14:textFill>
            <w14:solidFill>
              <w14:schemeClr w14:val="tx1"/>
            </w14:solidFill>
          </w14:textFill>
        </w:rPr>
        <w:t xml:space="preserve">万元，其中：人员经费 </w:t>
      </w:r>
      <w:r>
        <w:rPr>
          <w:rFonts w:hint="eastAsia" w:ascii="仿宋_GB2312" w:hAnsi="Times New Roman" w:eastAsia="仿宋_GB2312" w:cs="DengXian-Regular"/>
          <w:color w:val="000000" w:themeColor="text1"/>
          <w:sz w:val="32"/>
          <w:szCs w:val="32"/>
          <w:lang w:val="en-US" w:eastAsia="zh-CN"/>
          <w14:textFill>
            <w14:solidFill>
              <w14:schemeClr w14:val="tx1"/>
            </w14:solidFill>
          </w14:textFill>
        </w:rPr>
        <w:t>3255.53</w:t>
      </w:r>
      <w:r>
        <w:rPr>
          <w:rFonts w:hint="eastAsia" w:ascii="仿宋_GB2312" w:hAnsi="Times New Roman" w:eastAsia="仿宋_GB2312" w:cs="DengXian-Regular"/>
          <w:color w:val="000000" w:themeColor="text1"/>
          <w:sz w:val="32"/>
          <w:szCs w:val="32"/>
          <w14:textFill>
            <w14:solidFill>
              <w14:schemeClr w14:val="tx1"/>
            </w14:solidFill>
          </w14:textFill>
        </w:rPr>
        <w:t>万元</w:t>
      </w:r>
      <w:r>
        <w:rPr>
          <w:rFonts w:hint="eastAsia" w:ascii="仿宋_GB2312" w:hAnsi="Times New Roman" w:eastAsia="仿宋_GB2312" w:cs="Wingdings"/>
          <w:sz w:val="32"/>
          <w:szCs w:val="32"/>
        </w:rPr>
        <w:t>主要包括基本工资、津贴补贴、绩效工资、机关事业单位基本养老保险缴费、职工基本医疗保险缴费、住房公积金、其他社会保障缴费、退休费、抚恤金、生活补助、奖励金、其他对个人和家庭的补助支出；</w:t>
      </w:r>
      <w:r>
        <w:rPr>
          <w:rFonts w:hint="eastAsia" w:ascii="仿宋_GB2312" w:hAnsi="Times New Roman" w:eastAsia="仿宋_GB2312" w:cs="DengXian-Regular"/>
          <w:color w:val="000000" w:themeColor="text1"/>
          <w:sz w:val="32"/>
          <w:szCs w:val="32"/>
          <w14:textFill>
            <w14:solidFill>
              <w14:schemeClr w14:val="tx1"/>
            </w14:solidFill>
          </w14:textFill>
        </w:rPr>
        <w:t>公用经费</w:t>
      </w:r>
      <w:r>
        <w:rPr>
          <w:rFonts w:hint="eastAsia" w:ascii="仿宋_GB2312" w:hAnsi="Times New Roman" w:eastAsia="仿宋_GB2312" w:cs="DengXian-Regular"/>
          <w:color w:val="000000" w:themeColor="text1"/>
          <w:sz w:val="32"/>
          <w:szCs w:val="32"/>
          <w:lang w:val="en-US" w:eastAsia="zh-CN"/>
          <w14:textFill>
            <w14:solidFill>
              <w14:schemeClr w14:val="tx1"/>
            </w14:solidFill>
          </w14:textFill>
        </w:rPr>
        <w:t>128.48</w:t>
      </w:r>
      <w:r>
        <w:rPr>
          <w:rFonts w:hint="eastAsia" w:ascii="仿宋_GB2312" w:hAnsi="Times New Roman" w:eastAsia="仿宋_GB2312" w:cs="DengXian-Regular"/>
          <w:color w:val="000000" w:themeColor="text1"/>
          <w:sz w:val="32"/>
          <w:szCs w:val="32"/>
          <w14:textFill>
            <w14:solidFill>
              <w14:schemeClr w14:val="tx1"/>
            </w14:solidFill>
          </w14:textFill>
        </w:rPr>
        <w:t>万元，</w:t>
      </w:r>
      <w:r>
        <w:rPr>
          <w:rFonts w:hint="eastAsia" w:ascii="仿宋_GB2312" w:hAnsi="Times New Roman" w:eastAsia="仿宋_GB2312" w:cs="Wingdings"/>
          <w:sz w:val="32"/>
          <w:szCs w:val="32"/>
        </w:rPr>
        <w:t>主要包括办公费、电费、邮电费、取暖费、物业管理费、差旅费、维修（护）费、培训费、专用材料费、</w:t>
      </w:r>
      <w:r>
        <w:rPr>
          <w:rFonts w:hint="eastAsia" w:ascii="仿宋_GB2312" w:hAnsi="Times New Roman" w:eastAsia="仿宋_GB2312" w:cs="Wingdings"/>
          <w:sz w:val="32"/>
          <w:szCs w:val="32"/>
          <w:lang w:val="en-US" w:eastAsia="zh-CN"/>
        </w:rPr>
        <w:t>水资源税、</w:t>
      </w:r>
      <w:r>
        <w:rPr>
          <w:rFonts w:hint="eastAsia" w:ascii="仿宋_GB2312" w:hAnsi="Times New Roman" w:eastAsia="仿宋_GB2312" w:cs="Wingdings"/>
          <w:sz w:val="32"/>
          <w:szCs w:val="32"/>
        </w:rPr>
        <w:t>委托业务费、工会经费、公务用车运行维护费、其他商品和服务支出</w:t>
      </w:r>
      <w:r>
        <w:rPr>
          <w:rFonts w:hint="eastAsia" w:ascii="仿宋_GB2312" w:hAnsi="Times New Roman" w:eastAsia="仿宋_GB2312" w:cs="Wingdings"/>
          <w:sz w:val="32"/>
          <w:szCs w:val="32"/>
          <w:lang w:eastAsia="zh-CN"/>
        </w:rPr>
        <w:t>。</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本单位2020年度“三公”经费支出共计</w:t>
      </w:r>
      <w:r>
        <w:rPr>
          <w:rFonts w:hint="eastAsia" w:ascii="仿宋_GB2312" w:hAnsi="Times New Roman" w:eastAsia="仿宋_GB2312" w:cs="DengXian-Regular"/>
          <w:sz w:val="32"/>
          <w:szCs w:val="32"/>
          <w:lang w:val="en-US" w:eastAsia="zh-CN"/>
        </w:rPr>
        <w:t>1.22</w:t>
      </w:r>
      <w:r>
        <w:rPr>
          <w:rFonts w:hint="eastAsia" w:ascii="仿宋_GB2312" w:hAnsi="Times New Roman" w:eastAsia="仿宋_GB2312" w:cs="DengXian-Regular"/>
          <w:sz w:val="32"/>
          <w:szCs w:val="32"/>
        </w:rPr>
        <w:t>万元，较预算</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lang w:val="en-US" w:eastAsia="zh-CN"/>
        </w:rPr>
        <w:t>0.13</w:t>
      </w:r>
      <w:r>
        <w:rPr>
          <w:rFonts w:hint="eastAsia" w:ascii="仿宋_GB2312" w:hAnsi="Times New Roman" w:eastAsia="仿宋_GB2312" w:cs="DengXian-Regular"/>
          <w:sz w:val="32"/>
          <w:szCs w:val="32"/>
        </w:rPr>
        <w:t>万元，</w:t>
      </w:r>
      <w:r>
        <w:rPr>
          <w:rFonts w:ascii="仿宋_GB2312" w:hAnsi="仿宋" w:eastAsia="仿宋_GB2312"/>
          <w:sz w:val="32"/>
          <w:szCs w:val="32"/>
        </w:rPr>
        <w:t>原因为公车使用</w:t>
      </w:r>
      <w:r>
        <w:rPr>
          <w:rFonts w:hint="eastAsia" w:ascii="仿宋_GB2312" w:hAnsi="仿宋" w:eastAsia="仿宋_GB2312"/>
          <w:sz w:val="32"/>
          <w:szCs w:val="32"/>
        </w:rPr>
        <w:t>年限</w:t>
      </w:r>
      <w:r>
        <w:rPr>
          <w:rFonts w:ascii="仿宋_GB2312" w:hAnsi="仿宋" w:eastAsia="仿宋_GB2312"/>
          <w:sz w:val="32"/>
          <w:szCs w:val="32"/>
        </w:rPr>
        <w:t>较长，维修费用增加</w:t>
      </w:r>
      <w:r>
        <w:rPr>
          <w:rFonts w:hint="eastAsia" w:ascii="仿宋_GB2312" w:hAnsi="仿宋" w:eastAsia="仿宋_GB2312"/>
          <w:sz w:val="32"/>
          <w:szCs w:val="32"/>
          <w:lang w:eastAsia="zh-CN"/>
        </w:rPr>
        <w:t>。</w:t>
      </w:r>
      <w:r>
        <w:rPr>
          <w:rFonts w:hint="eastAsia" w:ascii="仿宋_GB2312" w:hAnsi="Times New Roman" w:eastAsia="仿宋_GB2312" w:cs="DengXian-Regular"/>
          <w:sz w:val="32"/>
          <w:szCs w:val="32"/>
        </w:rPr>
        <w:t>具体情况如下：</w:t>
      </w:r>
    </w:p>
    <w:p>
      <w:pPr>
        <w:numPr>
          <w:ilvl w:val="0"/>
          <w:numId w:val="1"/>
        </w:num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因公出国（境）费支出0万元。</w:t>
      </w:r>
      <w:r>
        <w:rPr>
          <w:rFonts w:hint="eastAsia" w:ascii="仿宋_GB2312" w:hAnsi="Times New Roman" w:eastAsia="仿宋_GB2312" w:cs="DengXian-Regular"/>
          <w:sz w:val="32"/>
          <w:szCs w:val="32"/>
        </w:rPr>
        <w:t>本单位2020年度因公出国（境）团组0个、共0人/参加其他单位组织的因公出国（境）团组0个、共0人/无本单位组织的出国（境）团组。</w:t>
      </w:r>
    </w:p>
    <w:p>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w:t>
      </w:r>
      <w:r>
        <w:rPr>
          <w:rFonts w:hint="eastAsia" w:ascii="楷体_GB2312" w:hAnsi="Times New Roman" w:eastAsia="楷体_GB2312" w:cs="DengXian-Bold"/>
          <w:b/>
          <w:bCs/>
          <w:sz w:val="32"/>
          <w:szCs w:val="32"/>
          <w:lang w:val="en-US" w:eastAsia="zh-CN"/>
        </w:rPr>
        <w:t>1.22</w:t>
      </w:r>
      <w:r>
        <w:rPr>
          <w:rFonts w:hint="eastAsia" w:ascii="楷体_GB2312" w:hAnsi="Times New Roman" w:eastAsia="楷体_GB2312" w:cs="DengXian-Bold"/>
          <w:b/>
          <w:bCs/>
          <w:sz w:val="32"/>
          <w:szCs w:val="32"/>
        </w:rPr>
        <w:t>万元。</w:t>
      </w:r>
      <w:r>
        <w:rPr>
          <w:rFonts w:ascii="仿宋_GB2312" w:hAnsi="仿宋" w:eastAsia="仿宋_GB2312"/>
          <w:sz w:val="32"/>
          <w:szCs w:val="32"/>
        </w:rPr>
        <w:t>比上年增长</w:t>
      </w:r>
      <w:r>
        <w:rPr>
          <w:rFonts w:hint="eastAsia" w:ascii="仿宋_GB2312" w:hAnsi="仿宋" w:eastAsia="仿宋_GB2312"/>
          <w:sz w:val="32"/>
          <w:szCs w:val="32"/>
          <w:lang w:val="en-US" w:eastAsia="zh-CN"/>
        </w:rPr>
        <w:t>0.13万</w:t>
      </w:r>
      <w:r>
        <w:rPr>
          <w:rFonts w:hint="eastAsia" w:ascii="仿宋_GB2312" w:hAnsi="仿宋" w:eastAsia="仿宋_GB2312"/>
          <w:sz w:val="32"/>
          <w:szCs w:val="32"/>
        </w:rPr>
        <w:t>元</w:t>
      </w:r>
      <w:r>
        <w:rPr>
          <w:rFonts w:ascii="仿宋_GB2312" w:hAnsi="仿宋" w:eastAsia="仿宋_GB2312"/>
          <w:sz w:val="32"/>
          <w:szCs w:val="32"/>
        </w:rPr>
        <w:t>，</w:t>
      </w:r>
      <w:r>
        <w:rPr>
          <w:rFonts w:hint="eastAsia" w:ascii="仿宋_GB2312" w:hAnsi="仿宋" w:eastAsia="仿宋_GB2312"/>
          <w:sz w:val="32"/>
          <w:szCs w:val="32"/>
        </w:rPr>
        <w:t>增长11.66</w:t>
      </w:r>
      <w:r>
        <w:rPr>
          <w:rFonts w:ascii="仿宋_GB2312" w:hAnsi="仿宋" w:eastAsia="仿宋_GB2312"/>
          <w:sz w:val="32"/>
          <w:szCs w:val="32"/>
        </w:rPr>
        <w:t>%，原因为公车使用</w:t>
      </w:r>
      <w:r>
        <w:rPr>
          <w:rFonts w:hint="eastAsia" w:ascii="仿宋_GB2312" w:hAnsi="仿宋" w:eastAsia="仿宋_GB2312"/>
          <w:sz w:val="32"/>
          <w:szCs w:val="32"/>
        </w:rPr>
        <w:t>年限</w:t>
      </w:r>
      <w:r>
        <w:rPr>
          <w:rFonts w:ascii="仿宋_GB2312" w:hAnsi="仿宋" w:eastAsia="仿宋_GB2312"/>
          <w:sz w:val="32"/>
          <w:szCs w:val="32"/>
        </w:rPr>
        <w:t>较长，维修费用增加</w:t>
      </w:r>
      <w:r>
        <w:rPr>
          <w:rFonts w:hint="eastAsia" w:ascii="仿宋_GB2312" w:hAnsi="仿宋" w:eastAsia="仿宋_GB2312"/>
          <w:sz w:val="32"/>
          <w:szCs w:val="32"/>
          <w:lang w:eastAsia="zh-CN"/>
        </w:rPr>
        <w:t>。</w:t>
      </w:r>
      <w:r>
        <w:rPr>
          <w:rFonts w:hint="eastAsia" w:ascii="仿宋_GB2312" w:hAnsi="Times New Roman" w:eastAsia="仿宋_GB2312" w:cs="DengXian-Bold"/>
          <w:b/>
          <w:bCs/>
          <w:sz w:val="32"/>
          <w:szCs w:val="32"/>
        </w:rPr>
        <w:t>其中：</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本单位2020年度公务用车购置量0辆，发生“公务用车购置”经费支出0万元。</w:t>
      </w:r>
      <w:r>
        <w:rPr>
          <w:rFonts w:hint="eastAsia" w:ascii="仿宋_GB2312" w:hAnsi="Times New Roman" w:eastAsia="仿宋_GB2312" w:cs="DengXian-Regular"/>
          <w:color w:val="000000"/>
          <w:sz w:val="32"/>
          <w:szCs w:val="32"/>
        </w:rPr>
        <w:t>与年初预算持平、与2019年度决算支出持平</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hint="eastAsia" w:ascii="仿宋_GB2312" w:hAnsi="仿宋" w:eastAsia="仿宋_GB2312"/>
          <w:sz w:val="32"/>
          <w:szCs w:val="32"/>
          <w:lang w:eastAsia="zh-CN"/>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本单位2020年度单位公务用车保有量1辆。</w:t>
      </w:r>
      <w:r>
        <w:rPr>
          <w:rFonts w:ascii="仿宋_GB2312" w:hAnsi="仿宋" w:eastAsia="仿宋_GB2312"/>
          <w:sz w:val="32"/>
          <w:szCs w:val="32"/>
        </w:rPr>
        <w:t>比上年增长</w:t>
      </w:r>
      <w:r>
        <w:rPr>
          <w:rFonts w:hint="eastAsia" w:ascii="仿宋_GB2312" w:hAnsi="仿宋" w:eastAsia="仿宋_GB2312"/>
          <w:sz w:val="32"/>
          <w:szCs w:val="32"/>
          <w:lang w:val="en-US" w:eastAsia="zh-CN"/>
        </w:rPr>
        <w:t>0.13万</w:t>
      </w:r>
      <w:r>
        <w:rPr>
          <w:rFonts w:hint="eastAsia" w:ascii="仿宋_GB2312" w:hAnsi="仿宋" w:eastAsia="仿宋_GB2312"/>
          <w:sz w:val="32"/>
          <w:szCs w:val="32"/>
        </w:rPr>
        <w:t>元</w:t>
      </w:r>
      <w:r>
        <w:rPr>
          <w:rFonts w:ascii="仿宋_GB2312" w:hAnsi="仿宋" w:eastAsia="仿宋_GB2312"/>
          <w:sz w:val="32"/>
          <w:szCs w:val="32"/>
        </w:rPr>
        <w:t>，</w:t>
      </w:r>
      <w:r>
        <w:rPr>
          <w:rFonts w:hint="eastAsia" w:ascii="仿宋_GB2312" w:hAnsi="仿宋" w:eastAsia="仿宋_GB2312"/>
          <w:sz w:val="32"/>
          <w:szCs w:val="32"/>
        </w:rPr>
        <w:t>增长11.66</w:t>
      </w:r>
      <w:r>
        <w:rPr>
          <w:rFonts w:ascii="仿宋_GB2312" w:hAnsi="仿宋" w:eastAsia="仿宋_GB2312"/>
          <w:sz w:val="32"/>
          <w:szCs w:val="32"/>
        </w:rPr>
        <w:t>%，原因为公车使用</w:t>
      </w:r>
      <w:r>
        <w:rPr>
          <w:rFonts w:hint="eastAsia" w:ascii="仿宋_GB2312" w:hAnsi="仿宋" w:eastAsia="仿宋_GB2312"/>
          <w:sz w:val="32"/>
          <w:szCs w:val="32"/>
        </w:rPr>
        <w:t>年限</w:t>
      </w:r>
      <w:r>
        <w:rPr>
          <w:rFonts w:ascii="仿宋_GB2312" w:hAnsi="仿宋" w:eastAsia="仿宋_GB2312"/>
          <w:sz w:val="32"/>
          <w:szCs w:val="32"/>
        </w:rPr>
        <w:t>较长，维修费用增加</w:t>
      </w:r>
      <w:r>
        <w:rPr>
          <w:rFonts w:hint="eastAsia" w:ascii="仿宋_GB2312" w:hAnsi="仿宋" w:eastAsia="仿宋_GB2312"/>
          <w:sz w:val="32"/>
          <w:szCs w:val="32"/>
          <w:lang w:eastAsia="zh-CN"/>
        </w:rPr>
        <w:t>。</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（三）公务接待费支出0万元。</w:t>
      </w:r>
      <w:r>
        <w:rPr>
          <w:rFonts w:hint="eastAsia" w:ascii="仿宋_GB2312" w:hAnsi="Times New Roman" w:eastAsia="仿宋_GB2312" w:cs="DengXian-Regular"/>
          <w:sz w:val="32"/>
          <w:szCs w:val="32"/>
        </w:rPr>
        <w:t>本单位2020年度公务接待共0批次、0人次。</w:t>
      </w:r>
    </w:p>
    <w:p>
      <w:pPr>
        <w:keepNext/>
        <w:keepLines/>
        <w:snapToGrid w:val="0"/>
        <w:spacing w:line="580" w:lineRule="exact"/>
        <w:ind w:firstLine="640" w:firstLineChars="200"/>
        <w:outlineLvl w:val="1"/>
        <w:rPr>
          <w:rFonts w:hint="eastAsia" w:ascii="黑体" w:hAnsi="Cambria" w:eastAsia="黑体" w:cs="黑体"/>
          <w:kern w:val="0"/>
          <w:sz w:val="32"/>
          <w:szCs w:val="32"/>
        </w:rPr>
      </w:pPr>
      <w:r>
        <w:rPr>
          <w:rFonts w:hint="eastAsia" w:ascii="黑体" w:hAnsi="Cambria" w:eastAsia="黑体" w:cs="黑体"/>
          <w:kern w:val="0"/>
          <w:sz w:val="32"/>
          <w:szCs w:val="32"/>
        </w:rPr>
        <w:t>六、预算绩效情况说明</w:t>
      </w:r>
    </w:p>
    <w:p>
      <w:pPr>
        <w:snapToGrid w:val="0"/>
        <w:spacing w:line="580" w:lineRule="exact"/>
        <w:ind w:firstLine="640" w:firstLineChars="200"/>
        <w:jc w:val="left"/>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根据预算绩效管理要求，本部门配合上级部门组织的对 2020年度项目支出全面开展的绩效自评工作，且评价结果由上级部门决算中评价公开。</w:t>
      </w:r>
    </w:p>
    <w:p>
      <w:pPr>
        <w:keepNext/>
        <w:keepLines/>
        <w:numPr>
          <w:ilvl w:val="0"/>
          <w:numId w:val="0"/>
        </w:numPr>
        <w:snapToGrid w:val="0"/>
        <w:spacing w:line="580" w:lineRule="exact"/>
        <w:ind w:firstLine="640" w:firstLineChars="200"/>
        <w:outlineLvl w:val="1"/>
        <w:rPr>
          <w:rFonts w:ascii="楷体_GB2312" w:hAnsi="Times New Roman" w:eastAsia="楷体_GB2312" w:cs="DengXian-Bold"/>
          <w:b/>
          <w:bCs/>
          <w:sz w:val="32"/>
          <w:szCs w:val="32"/>
        </w:rPr>
      </w:pPr>
      <w:r>
        <w:rPr>
          <w:rFonts w:hint="eastAsia" w:ascii="黑体" w:hAnsi="Calibri" w:eastAsia="黑体" w:cs="Times New Roman"/>
          <w:sz w:val="32"/>
          <w:szCs w:val="32"/>
          <w:lang w:val="en-US" w:eastAsia="zh-CN"/>
        </w:rPr>
        <w:t>七</w:t>
      </w:r>
      <w:r>
        <w:rPr>
          <w:rFonts w:hint="eastAsia" w:ascii="黑体" w:hAnsi="Calibri" w:eastAsia="黑体" w:cs="Times New Roman"/>
          <w:sz w:val="32"/>
          <w:szCs w:val="32"/>
        </w:rPr>
        <w:t>、</w:t>
      </w:r>
      <w:r>
        <w:rPr>
          <w:rFonts w:hint="eastAsia" w:ascii="黑体" w:hAnsi="Cambria" w:eastAsia="黑体" w:cs="黑体"/>
          <w:kern w:val="0"/>
          <w:sz w:val="32"/>
          <w:szCs w:val="32"/>
        </w:rPr>
        <w:t>机关运行经费情况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本单位2020年度无机关运行经费。</w:t>
      </w:r>
    </w:p>
    <w:p>
      <w:pPr>
        <w:keepNext/>
        <w:keepLines/>
        <w:snapToGrid w:val="0"/>
        <w:spacing w:line="600" w:lineRule="exact"/>
        <w:ind w:firstLine="640" w:firstLineChars="200"/>
        <w:outlineLvl w:val="2"/>
        <w:rPr>
          <w:rFonts w:ascii="黑体" w:hAnsi="黑体" w:eastAsia="黑体" w:cs="黑体"/>
          <w:sz w:val="32"/>
          <w:szCs w:val="32"/>
        </w:rPr>
      </w:pPr>
      <w:r>
        <w:rPr>
          <w:rFonts w:hint="eastAsia" w:ascii="黑体" w:hAnsi="黑体" w:eastAsia="黑体" w:cs="黑体"/>
          <w:sz w:val="32"/>
          <w:szCs w:val="32"/>
        </w:rPr>
        <w:t>八、政府采购情况</w:t>
      </w:r>
    </w:p>
    <w:p>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本单位2020年度政府采购支出总额</w:t>
      </w:r>
      <w:r>
        <w:rPr>
          <w:rFonts w:hint="eastAsia" w:ascii="仿宋_GB2312" w:hAnsi="Times New Roman" w:eastAsia="仿宋_GB2312" w:cs="DengXian-Regular"/>
          <w:sz w:val="32"/>
          <w:szCs w:val="32"/>
          <w:lang w:val="en-US" w:eastAsia="zh-CN"/>
        </w:rPr>
        <w:t>98.98</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50.03</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48.95</w:t>
      </w:r>
      <w:r>
        <w:rPr>
          <w:rFonts w:ascii="仿宋_GB2312" w:hAnsi="仿宋_GB2312" w:eastAsia="仿宋_GB2312" w:cs="仿宋_GB2312"/>
          <w:color w:val="000000"/>
          <w:kern w:val="0"/>
          <w:sz w:val="32"/>
          <w:szCs w:val="32"/>
          <w:lang w:bidi="ar"/>
        </w:rPr>
        <w:t xml:space="preserve">万元、政府采购服务支出 </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98.98</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bidi="ar"/>
        </w:rPr>
        <w:t>100%，</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98.98</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bidi="ar"/>
        </w:rPr>
        <w:t>100</w:t>
      </w:r>
      <w:r>
        <w:rPr>
          <w:rFonts w:ascii="仿宋_GB2312" w:hAnsi="仿宋_GB2312" w:eastAsia="仿宋_GB2312" w:cs="仿宋_GB2312"/>
          <w:color w:val="000000"/>
          <w:kern w:val="0"/>
          <w:sz w:val="32"/>
          <w:szCs w:val="32"/>
          <w:lang w:bidi="ar"/>
        </w:rPr>
        <w:t>%。</w:t>
      </w:r>
    </w:p>
    <w:p>
      <w:pPr>
        <w:keepNext/>
        <w:keepLines/>
        <w:snapToGrid w:val="0"/>
        <w:spacing w:line="580" w:lineRule="exact"/>
        <w:ind w:firstLine="640" w:firstLineChars="200"/>
        <w:outlineLvl w:val="2"/>
        <w:rPr>
          <w:rFonts w:ascii="楷体_GB2312" w:hAnsi="Times New Roman" w:eastAsia="楷体_GB2312" w:cs="DengXian-Bold"/>
          <w:b/>
          <w:bCs/>
          <w:sz w:val="32"/>
          <w:szCs w:val="32"/>
        </w:rPr>
      </w:pPr>
      <w:r>
        <w:rPr>
          <w:rFonts w:hint="eastAsia" w:ascii="黑体" w:hAnsi="黑体" w:eastAsia="黑体" w:cs="黑体"/>
          <w:sz w:val="32"/>
          <w:szCs w:val="32"/>
        </w:rPr>
        <w:t>九、</w:t>
      </w:r>
      <w:r>
        <w:rPr>
          <w:rFonts w:hint="eastAsia" w:ascii="楷体_GB2312" w:hAnsi="Times New Roman" w:eastAsia="楷体_GB2312" w:cs="DengXian-Bold"/>
          <w:b/>
          <w:bCs/>
          <w:sz w:val="32"/>
          <w:szCs w:val="32"/>
        </w:rPr>
        <w:t>国有资产占用情况</w:t>
      </w: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截至2020年12月31日，本部门共有车辆1辆，比上年增加（减少）0辆。其中，副部（省）级及以上领导用车0辆，主要领导干部用车0辆，机要通信用车0辆，应急保障用车0辆，执法执勤用车0辆，特种专业技术用车0辆，离退休干部用车0辆，其他用车1辆</w:t>
      </w:r>
      <w:r>
        <w:rPr>
          <w:rFonts w:hint="eastAsia" w:ascii="仿宋_GB2312" w:hAnsi="Times New Roman" w:eastAsia="仿宋_GB2312" w:cs="DengXian-Regular"/>
          <w:sz w:val="32"/>
          <w:szCs w:val="32"/>
          <w:lang w:eastAsia="zh-CN"/>
        </w:rPr>
        <w:t>。</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台（套），比上年增加（减少）0套，单位价值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万元以上专用设备0台（套）比上年增加（减少）0套。</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lang w:val="en-US" w:eastAsia="zh-CN"/>
        </w:rPr>
        <w:t>十、</w:t>
      </w:r>
      <w:r>
        <w:rPr>
          <w:rFonts w:hint="eastAsia" w:ascii="楷体_GB2312" w:hAnsi="Times New Roman" w:eastAsia="楷体_GB2312" w:cs="DengXian-Bold"/>
          <w:b/>
          <w:bCs/>
          <w:sz w:val="32"/>
          <w:szCs w:val="32"/>
        </w:rPr>
        <w:t>其他需要说明的情况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本单位2020年度政府性基金预算财政拨款收入支出决算表、国有资本经营预算财政拨款支出决算表无收支及结转结余情况，故公开08表、公开09表以空表列示。</w:t>
      </w:r>
    </w:p>
    <w:p>
      <w:pPr>
        <w:adjustRightInd w:val="0"/>
        <w:snapToGrid w:val="0"/>
        <w:spacing w:line="580" w:lineRule="exact"/>
        <w:ind w:firstLine="640" w:firstLineChars="200"/>
        <w:rPr>
          <w:rFonts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pStyle w:val="2"/>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rPr>
          <w:rFonts w:hint="eastAsia"/>
        </w:rPr>
      </w:pPr>
    </w:p>
    <w:p>
      <w:pPr>
        <w:pStyle w:val="2"/>
        <w:rPr>
          <w:rFonts w:hint="eastAsia"/>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sz w:val="72"/>
        </w:rPr>
        <mc:AlternateContent>
          <mc:Choice Requires="wps">
            <w:drawing>
              <wp:anchor distT="0" distB="0" distL="114300" distR="114300" simplePos="0" relativeHeight="251663360" behindDoc="0" locked="0" layoutInCell="1" allowOverlap="1">
                <wp:simplePos x="0" y="0"/>
                <wp:positionH relativeFrom="column">
                  <wp:posOffset>-1182370</wp:posOffset>
                </wp:positionH>
                <wp:positionV relativeFrom="paragraph">
                  <wp:posOffset>68580</wp:posOffset>
                </wp:positionV>
                <wp:extent cx="7793355" cy="3341370"/>
                <wp:effectExtent l="4445" t="4445" r="12700" b="6985"/>
                <wp:wrapNone/>
                <wp:docPr id="3" name="文本框 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7F7F7F"/>
                          </a:fgClr>
                          <a:bgClr>
                            <a:srgbClr val="FFFFFF"/>
                          </a:bgClr>
                        </a:pattFill>
                        <a:ln w="6350" cap="flat" cmpd="sng">
                          <a:solidFill>
                            <a:srgbClr val="7F7F7F"/>
                          </a:solidFill>
                          <a:prstDash val="solid"/>
                          <a:miter/>
                          <a:headEnd type="none" w="med" len="med"/>
                          <a:tailEnd type="none" w="med" len="med"/>
                        </a:ln>
                      </wps:spPr>
                      <wps:txbx>
                        <w:txbxContent>
                          <w:p>
                            <w:pPr>
                              <w:widowControl/>
                              <w:jc w:val="center"/>
                            </w:pPr>
                            <w:r>
                              <w:rPr>
                                <w:rFonts w:hint="eastAsia" w:ascii="黑体" w:hAnsi="黑体" w:eastAsia="黑体" w:cs="黑体"/>
                                <w:color w:val="000000" w:themeColor="text1"/>
                                <w:sz w:val="90"/>
                                <w:szCs w:val="90"/>
                                <w14:textFill>
                                  <w14:solidFill>
                                    <w14:schemeClr w14:val="tx1"/>
                                  </w14:solidFill>
                                </w14:textFill>
                              </w:rPr>
                              <w:t>第三部分 相关名词解释</w:t>
                            </w:r>
                          </w:p>
                        </w:txbxContent>
                      </wps:txbx>
                      <wps:bodyPr anchor="ctr" anchorCtr="0" upright="1"/>
                    </wps:wsp>
                  </a:graphicData>
                </a:graphic>
              </wp:anchor>
            </w:drawing>
          </mc:Choice>
          <mc:Fallback>
            <w:pict>
              <v:shape id="_x0000_s1026" o:spid="_x0000_s1026" o:spt="202" type="#_x0000_t202" style="position:absolute;left:0pt;margin-left:-93.1pt;margin-top:5.4pt;height:263.1pt;width:613.65pt;z-index:251663360;v-text-anchor:middle;mso-width-relative:page;mso-height-relative:page;" fillcolor="#7F7F7F" filled="t" stroked="t" coordsize="21600,21600" o:gfxdata="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clkV32QAA&#10;AAwBAAAPAAAAAAAAAAEAIAAAACIAAABkcnMvZG93bnJldi54bWxQSwECFAAUAAAACACHTuJAuNFf&#10;TB0CAABNBAAADgAAAAAAAAABACAAAAAoAQAAZHJzL2Uyb0RvYy54bWxQSwUGAAAAAAYABgBZAQAA&#10;twUAAAAA&#10;">
                <v:fill type="pattern" on="t" color2="#FFFFFF" focussize="0,0" r:id="rId13"/>
                <v:stroke weight="0.5pt" color="#7F7F7F" joinstyle="miter"/>
                <v:imagedata o:title=""/>
                <o:lock v:ext="edit" aspectratio="f"/>
                <v:textbox>
                  <w:txbxContent>
                    <w:p>
                      <w:pPr>
                        <w:widowControl/>
                        <w:jc w:val="center"/>
                      </w:pPr>
                      <w:r>
                        <w:rPr>
                          <w:rFonts w:hint="eastAsia" w:ascii="黑体" w:hAnsi="黑体" w:eastAsia="黑体" w:cs="黑体"/>
                          <w:color w:val="000000" w:themeColor="text1"/>
                          <w:sz w:val="90"/>
                          <w:szCs w:val="90"/>
                          <w14:textFill>
                            <w14:solidFill>
                              <w14:schemeClr w14:val="tx1"/>
                            </w14:solidFill>
                          </w14:textFill>
                        </w:rPr>
                        <w:t>第三部分 相关名词解释</w:t>
                      </w:r>
                    </w:p>
                  </w:txbxContent>
                </v:textbox>
              </v:shape>
            </w:pict>
          </mc:Fallback>
        </mc:AlternateContent>
      </w: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left"/>
        <w:rPr>
          <w:rFonts w:hint="eastAsia" w:ascii="黑体" w:hAnsi="黑体" w:eastAsia="黑体" w:cs="黑体"/>
          <w:color w:val="000000" w:themeColor="text1"/>
          <w:sz w:val="32"/>
          <w:szCs w:val="32"/>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和政府性基金预算财政拨款支出，不包括财政专户管理资金以及各类拼盘自筹资金等。</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spacing w:line="600" w:lineRule="exact"/>
        <w:ind w:firstLine="643" w:firstLineChars="200"/>
        <w:jc w:val="left"/>
        <w:rPr>
          <w:rFonts w:ascii="仿宋_GB2312" w:hAnsi="Cambria" w:eastAsia="仿宋_GB2312" w:cs="Arial Black"/>
          <w:kern w:val="0"/>
          <w:sz w:val="32"/>
          <w:szCs w:val="32"/>
        </w:rPr>
      </w:pPr>
      <w:r>
        <w:rPr>
          <w:rFonts w:hint="eastAsia" w:ascii="仿宋_GB2312" w:hAnsi="宋体" w:eastAsia="仿宋_GB2312" w:cs="Times New Roman"/>
          <w:b/>
          <w:bCs/>
          <w:color w:val="000000"/>
          <w:kern w:val="0"/>
          <w:sz w:val="32"/>
          <w:szCs w:val="32"/>
        </w:rPr>
        <w:t>（十六）经费形式: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 Black"/>
          <w:kern w:val="0"/>
          <w:sz w:val="32"/>
          <w:szCs w:val="32"/>
        </w:rPr>
        <w:t>可分为财政拨款、财政性资金基本保证、财政性资金定额或定项补助、财政性资金零补助四类。</w:t>
      </w:r>
    </w:p>
    <w:p>
      <w:pPr>
        <w:widowControl/>
        <w:spacing w:line="560" w:lineRule="exact"/>
        <w:ind w:firstLine="640" w:firstLineChars="200"/>
        <w:rPr>
          <w:rFonts w:ascii="仿宋_GB2312" w:hAnsi="Cambria" w:eastAsia="仿宋_GB2312" w:cs="ArialUnicodeMS"/>
          <w:kern w:val="0"/>
          <w:sz w:val="32"/>
          <w:szCs w:val="32"/>
        </w:rPr>
      </w:pPr>
    </w:p>
    <w:p>
      <w:pPr>
        <w:pStyle w:val="2"/>
        <w:rPr>
          <w:rFonts w:ascii="仿宋_GB2312" w:hAnsi="Cambria" w:eastAsia="仿宋_GB2312" w:cs="ArialUnicodeMS"/>
          <w:kern w:val="0"/>
          <w:sz w:val="32"/>
          <w:szCs w:val="32"/>
        </w:rPr>
      </w:pPr>
    </w:p>
    <w:p>
      <w:pPr>
        <w:rPr>
          <w:rFonts w:ascii="仿宋_GB2312" w:hAnsi="Cambria" w:eastAsia="仿宋_GB2312" w:cs="ArialUnicodeMS"/>
          <w:kern w:val="0"/>
          <w:sz w:val="32"/>
          <w:szCs w:val="32"/>
        </w:rPr>
      </w:pPr>
    </w:p>
    <w:p>
      <w:pPr>
        <w:pStyle w:val="2"/>
        <w:rPr>
          <w:rFonts w:ascii="仿宋_GB2312" w:hAnsi="Cambria" w:eastAsia="仿宋_GB2312" w:cs="ArialUnicodeMS"/>
          <w:kern w:val="0"/>
          <w:sz w:val="32"/>
          <w:szCs w:val="32"/>
        </w:rPr>
      </w:pPr>
    </w:p>
    <w:p>
      <w:pPr>
        <w:rPr>
          <w:rFonts w:ascii="仿宋_GB2312" w:hAnsi="Cambria" w:eastAsia="仿宋_GB2312" w:cs="ArialUnicodeMS"/>
          <w:kern w:val="0"/>
          <w:sz w:val="32"/>
          <w:szCs w:val="32"/>
        </w:rPr>
      </w:pPr>
    </w:p>
    <w:p>
      <w:pPr>
        <w:pStyle w:val="2"/>
        <w:rPr>
          <w:rFonts w:ascii="仿宋_GB2312" w:hAnsi="Cambria" w:eastAsia="仿宋_GB2312" w:cs="ArialUnicodeMS"/>
          <w:kern w:val="0"/>
          <w:sz w:val="32"/>
          <w:szCs w:val="32"/>
        </w:rPr>
      </w:pPr>
    </w:p>
    <w:p>
      <w:pPr>
        <w:rPr>
          <w:rFonts w:ascii="仿宋_GB2312" w:hAnsi="Cambria" w:eastAsia="仿宋_GB2312" w:cs="ArialUnicodeMS"/>
          <w:kern w:val="0"/>
          <w:sz w:val="32"/>
          <w:szCs w:val="32"/>
        </w:rPr>
      </w:pPr>
    </w:p>
    <w:p>
      <w:pPr>
        <w:pStyle w:val="2"/>
        <w:rPr>
          <w:rFonts w:ascii="仿宋_GB2312" w:hAnsi="Cambria" w:eastAsia="仿宋_GB2312" w:cs="ArialUnicodeMS"/>
          <w:kern w:val="0"/>
          <w:sz w:val="32"/>
          <w:szCs w:val="32"/>
        </w:rPr>
      </w:pPr>
    </w:p>
    <w:p/>
    <w:p>
      <w:pPr>
        <w:pStyle w:val="2"/>
      </w:pPr>
    </w:p>
    <w:p/>
    <w:p>
      <w:pPr>
        <w:pStyle w:val="2"/>
      </w:pPr>
    </w:p>
    <w:p/>
    <w:p>
      <w:pPr>
        <w:pStyle w:val="2"/>
      </w:pPr>
    </w:p>
    <w:p/>
    <w:p/>
    <w:p>
      <w:pPr>
        <w:pStyle w:val="2"/>
      </w:pPr>
      <w:r>
        <w:rPr>
          <w:sz w:val="72"/>
        </w:rPr>
        <mc:AlternateContent>
          <mc:Choice Requires="wps">
            <w:drawing>
              <wp:anchor distT="0" distB="0" distL="114300" distR="114300" simplePos="0" relativeHeight="251664384" behindDoc="0" locked="0" layoutInCell="1" allowOverlap="1">
                <wp:simplePos x="0" y="0"/>
                <wp:positionH relativeFrom="column">
                  <wp:posOffset>-1158875</wp:posOffset>
                </wp:positionH>
                <wp:positionV relativeFrom="paragraph">
                  <wp:posOffset>15875</wp:posOffset>
                </wp:positionV>
                <wp:extent cx="7793355" cy="3341370"/>
                <wp:effectExtent l="6350" t="6350" r="10795" b="24130"/>
                <wp:wrapNone/>
                <wp:docPr id="12" name="文本框 12"/>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7F7F7F"/>
                          </a:fgClr>
                          <a:bgClr>
                            <a:srgbClr val="FFFFFF"/>
                          </a:bgClr>
                        </a:pattFill>
                        <a:ln w="12700" cap="flat" cmpd="sng">
                          <a:solidFill>
                            <a:srgbClr val="A6A6A6"/>
                          </a:solidFill>
                          <a:prstDash val="solid"/>
                          <a:miter/>
                          <a:headEnd type="none" w="med" len="med"/>
                          <a:tailEnd type="none" w="med" len="med"/>
                        </a:ln>
                      </wps:spPr>
                      <wps:txbx>
                        <w:txbxContent>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第四部分 </w:t>
                            </w:r>
                          </w:p>
                          <w:p>
                            <w:pPr>
                              <w:widowControl/>
                              <w:jc w:val="center"/>
                            </w:pPr>
                            <w:r>
                              <w:rPr>
                                <w:rFonts w:hint="eastAsia" w:ascii="黑体" w:hAnsi="黑体" w:eastAsia="黑体" w:cs="黑体"/>
                                <w:color w:val="000000" w:themeColor="text1"/>
                                <w:sz w:val="90"/>
                                <w:szCs w:val="90"/>
                                <w14:textFill>
                                  <w14:solidFill>
                                    <w14:schemeClr w14:val="tx1"/>
                                  </w14:solidFill>
                                </w14:textFill>
                              </w:rPr>
                              <w:t>2020年度部门决算报表</w:t>
                            </w:r>
                          </w:p>
                          <w:p/>
                        </w:txbxContent>
                      </wps:txbx>
                      <wps:bodyPr anchor="ctr" anchorCtr="0" upright="1"/>
                    </wps:wsp>
                  </a:graphicData>
                </a:graphic>
              </wp:anchor>
            </w:drawing>
          </mc:Choice>
          <mc:Fallback>
            <w:pict>
              <v:shape id="_x0000_s1026" o:spid="_x0000_s1026" o:spt="202" type="#_x0000_t202" style="position:absolute;left:0pt;margin-left:-91.25pt;margin-top:1.25pt;height:263.1pt;width:613.65pt;z-index:251664384;v-text-anchor:middle;mso-width-relative:page;mso-height-relative:page;" fillcolor="#7F7F7F" filled="t" stroked="t" coordsize="21600,21600" o:gfxdata="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k&#10;ChhA2gAAAAsBAAAPAAAAAAAAAAEAIAAAACIAAABkcnMvZG93bnJldi54bWxQSwECFAAUAAAACACH&#10;TuJAQORCIyICAABQBAAADgAAAAAAAAABACAAAAApAQAAZHJzL2Uyb0RvYy54bWxQSwUGAAAAAAYA&#10;BgBZAQAAvQUAAAAA&#10;">
                <v:fill type="pattern" on="t" color2="#FFFFFF" focussize="0,0" r:id="rId13"/>
                <v:stroke weight="1pt" color="#A6A6A6" joinstyle="miter"/>
                <v:imagedata o:title=""/>
                <o:lock v:ext="edit" aspectratio="f"/>
                <v:textbox>
                  <w:txbxContent>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第四部分 </w:t>
                      </w:r>
                    </w:p>
                    <w:p>
                      <w:pPr>
                        <w:widowControl/>
                        <w:jc w:val="center"/>
                      </w:pPr>
                      <w:r>
                        <w:rPr>
                          <w:rFonts w:hint="eastAsia" w:ascii="黑体" w:hAnsi="黑体" w:eastAsia="黑体" w:cs="黑体"/>
                          <w:color w:val="000000" w:themeColor="text1"/>
                          <w:sz w:val="90"/>
                          <w:szCs w:val="90"/>
                          <w14:textFill>
                            <w14:solidFill>
                              <w14:schemeClr w14:val="tx1"/>
                            </w14:solidFill>
                          </w14:textFill>
                        </w:rPr>
                        <w:t>2020年度部门决算报表</w:t>
                      </w:r>
                    </w:p>
                    <w:p/>
                  </w:txbxContent>
                </v:textbox>
              </v:shape>
            </w:pict>
          </mc:Fallback>
        </mc:AlternateContent>
      </w:r>
    </w:p>
    <w:p/>
    <w:p/>
    <w:p/>
    <w:p/>
    <w:p/>
    <w:p/>
    <w:p/>
    <w:p/>
    <w:p/>
    <w:p/>
    <w:p/>
    <w:p>
      <w:r>
        <w:drawing>
          <wp:inline distT="0" distB="0" distL="114300" distR="114300">
            <wp:extent cx="5269865" cy="4109085"/>
            <wp:effectExtent l="0" t="0" r="635" b="5715"/>
            <wp:docPr id="235"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24"/>
                    <pic:cNvPicPr>
                      <a:picLocks noChangeAspect="1"/>
                    </pic:cNvPicPr>
                  </pic:nvPicPr>
                  <pic:blipFill>
                    <a:blip r:embed="rId17"/>
                    <a:stretch>
                      <a:fillRect/>
                    </a:stretch>
                  </pic:blipFill>
                  <pic:spPr>
                    <a:xfrm>
                      <a:off x="0" y="0"/>
                      <a:ext cx="5269865" cy="4109085"/>
                    </a:xfrm>
                    <a:prstGeom prst="rect">
                      <a:avLst/>
                    </a:prstGeom>
                    <a:noFill/>
                    <a:ln>
                      <a:noFill/>
                    </a:ln>
                  </pic:spPr>
                </pic:pic>
              </a:graphicData>
            </a:graphic>
          </wp:inline>
        </w:drawing>
      </w:r>
    </w:p>
    <w:p>
      <w:r>
        <w:drawing>
          <wp:inline distT="0" distB="0" distL="114300" distR="114300">
            <wp:extent cx="5264785" cy="1767205"/>
            <wp:effectExtent l="0" t="0" r="5715" b="10795"/>
            <wp:docPr id="236"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25"/>
                    <pic:cNvPicPr>
                      <a:picLocks noChangeAspect="1"/>
                    </pic:cNvPicPr>
                  </pic:nvPicPr>
                  <pic:blipFill>
                    <a:blip r:embed="rId18"/>
                    <a:stretch>
                      <a:fillRect/>
                    </a:stretch>
                  </pic:blipFill>
                  <pic:spPr>
                    <a:xfrm>
                      <a:off x="0" y="0"/>
                      <a:ext cx="5264785" cy="1767205"/>
                    </a:xfrm>
                    <a:prstGeom prst="rect">
                      <a:avLst/>
                    </a:prstGeom>
                    <a:noFill/>
                    <a:ln>
                      <a:noFill/>
                    </a:ln>
                  </pic:spPr>
                </pic:pic>
              </a:graphicData>
            </a:graphic>
          </wp:inline>
        </w:drawing>
      </w:r>
    </w:p>
    <w:p/>
    <w:p>
      <w:r>
        <w:drawing>
          <wp:inline distT="0" distB="0" distL="114300" distR="114300">
            <wp:extent cx="5272405" cy="1815465"/>
            <wp:effectExtent l="0" t="0" r="10795" b="635"/>
            <wp:docPr id="237"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26"/>
                    <pic:cNvPicPr>
                      <a:picLocks noChangeAspect="1"/>
                    </pic:cNvPicPr>
                  </pic:nvPicPr>
                  <pic:blipFill>
                    <a:blip r:embed="rId19"/>
                    <a:stretch>
                      <a:fillRect/>
                    </a:stretch>
                  </pic:blipFill>
                  <pic:spPr>
                    <a:xfrm>
                      <a:off x="0" y="0"/>
                      <a:ext cx="5272405" cy="1815465"/>
                    </a:xfrm>
                    <a:prstGeom prst="rect">
                      <a:avLst/>
                    </a:prstGeom>
                    <a:noFill/>
                    <a:ln>
                      <a:noFill/>
                    </a:ln>
                  </pic:spPr>
                </pic:pic>
              </a:graphicData>
            </a:graphic>
          </wp:inline>
        </w:drawing>
      </w:r>
    </w:p>
    <w:p>
      <w:pPr>
        <w:pStyle w:val="2"/>
      </w:pPr>
      <w:r>
        <w:drawing>
          <wp:inline distT="0" distB="0" distL="114300" distR="114300">
            <wp:extent cx="5273675" cy="3692525"/>
            <wp:effectExtent l="0" t="0" r="9525" b="3175"/>
            <wp:docPr id="238"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27"/>
                    <pic:cNvPicPr>
                      <a:picLocks noChangeAspect="1"/>
                    </pic:cNvPicPr>
                  </pic:nvPicPr>
                  <pic:blipFill>
                    <a:blip r:embed="rId20"/>
                    <a:stretch>
                      <a:fillRect/>
                    </a:stretch>
                  </pic:blipFill>
                  <pic:spPr>
                    <a:xfrm>
                      <a:off x="0" y="0"/>
                      <a:ext cx="5273675" cy="3692525"/>
                    </a:xfrm>
                    <a:prstGeom prst="rect">
                      <a:avLst/>
                    </a:prstGeom>
                    <a:noFill/>
                    <a:ln>
                      <a:noFill/>
                    </a:ln>
                  </pic:spPr>
                </pic:pic>
              </a:graphicData>
            </a:graphic>
          </wp:inline>
        </w:drawing>
      </w:r>
    </w:p>
    <w:p>
      <w:pPr>
        <w:pStyle w:val="2"/>
      </w:pPr>
    </w:p>
    <w:p>
      <w:pPr>
        <w:pStyle w:val="2"/>
      </w:pPr>
      <w:r>
        <w:drawing>
          <wp:inline distT="0" distB="0" distL="114300" distR="114300">
            <wp:extent cx="5270500" cy="2416175"/>
            <wp:effectExtent l="0" t="0" r="0" b="9525"/>
            <wp:docPr id="239"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28"/>
                    <pic:cNvPicPr>
                      <a:picLocks noChangeAspect="1"/>
                    </pic:cNvPicPr>
                  </pic:nvPicPr>
                  <pic:blipFill>
                    <a:blip r:embed="rId21"/>
                    <a:stretch>
                      <a:fillRect/>
                    </a:stretch>
                  </pic:blipFill>
                  <pic:spPr>
                    <a:xfrm>
                      <a:off x="0" y="0"/>
                      <a:ext cx="5270500" cy="2416175"/>
                    </a:xfrm>
                    <a:prstGeom prst="rect">
                      <a:avLst/>
                    </a:prstGeom>
                    <a:noFill/>
                    <a:ln>
                      <a:noFill/>
                    </a:ln>
                  </pic:spPr>
                </pic:pic>
              </a:graphicData>
            </a:graphic>
          </wp:inline>
        </w:drawing>
      </w:r>
    </w:p>
    <w:p>
      <w:pPr>
        <w:pStyle w:val="2"/>
      </w:pPr>
      <w:r>
        <w:drawing>
          <wp:inline distT="0" distB="0" distL="114300" distR="114300">
            <wp:extent cx="5271135" cy="2903220"/>
            <wp:effectExtent l="0" t="0" r="12065" b="5080"/>
            <wp:docPr id="240"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29"/>
                    <pic:cNvPicPr>
                      <a:picLocks noChangeAspect="1"/>
                    </pic:cNvPicPr>
                  </pic:nvPicPr>
                  <pic:blipFill>
                    <a:blip r:embed="rId22"/>
                    <a:stretch>
                      <a:fillRect/>
                    </a:stretch>
                  </pic:blipFill>
                  <pic:spPr>
                    <a:xfrm>
                      <a:off x="0" y="0"/>
                      <a:ext cx="5271135" cy="2903220"/>
                    </a:xfrm>
                    <a:prstGeom prst="rect">
                      <a:avLst/>
                    </a:prstGeom>
                    <a:noFill/>
                    <a:ln>
                      <a:noFill/>
                    </a:ln>
                  </pic:spPr>
                </pic:pic>
              </a:graphicData>
            </a:graphic>
          </wp:inline>
        </w:drawing>
      </w:r>
    </w:p>
    <w:p>
      <w:pPr>
        <w:pStyle w:val="2"/>
      </w:pPr>
    </w:p>
    <w:p>
      <w:pPr>
        <w:pStyle w:val="2"/>
      </w:pPr>
      <w:r>
        <w:drawing>
          <wp:inline distT="0" distB="0" distL="114300" distR="114300">
            <wp:extent cx="5262880" cy="1047115"/>
            <wp:effectExtent l="0" t="0" r="7620" b="6985"/>
            <wp:docPr id="241"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30"/>
                    <pic:cNvPicPr>
                      <a:picLocks noChangeAspect="1"/>
                    </pic:cNvPicPr>
                  </pic:nvPicPr>
                  <pic:blipFill>
                    <a:blip r:embed="rId23"/>
                    <a:stretch>
                      <a:fillRect/>
                    </a:stretch>
                  </pic:blipFill>
                  <pic:spPr>
                    <a:xfrm>
                      <a:off x="0" y="0"/>
                      <a:ext cx="5262880" cy="1047115"/>
                    </a:xfrm>
                    <a:prstGeom prst="rect">
                      <a:avLst/>
                    </a:prstGeom>
                    <a:noFill/>
                    <a:ln>
                      <a:noFill/>
                    </a:ln>
                  </pic:spPr>
                </pic:pic>
              </a:graphicData>
            </a:graphic>
          </wp:inline>
        </w:drawing>
      </w:r>
    </w:p>
    <w:p>
      <w:pPr>
        <w:pStyle w:val="2"/>
      </w:pPr>
    </w:p>
    <w:p>
      <w:r>
        <w:drawing>
          <wp:inline distT="0" distB="0" distL="114300" distR="114300">
            <wp:extent cx="5273675" cy="1614170"/>
            <wp:effectExtent l="0" t="0" r="9525" b="11430"/>
            <wp:docPr id="243"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32"/>
                    <pic:cNvPicPr>
                      <a:picLocks noChangeAspect="1"/>
                    </pic:cNvPicPr>
                  </pic:nvPicPr>
                  <pic:blipFill>
                    <a:blip r:embed="rId24"/>
                    <a:stretch>
                      <a:fillRect/>
                    </a:stretch>
                  </pic:blipFill>
                  <pic:spPr>
                    <a:xfrm>
                      <a:off x="0" y="0"/>
                      <a:ext cx="5273675" cy="1614170"/>
                    </a:xfrm>
                    <a:prstGeom prst="rect">
                      <a:avLst/>
                    </a:prstGeom>
                    <a:noFill/>
                    <a:ln>
                      <a:noFill/>
                    </a:ln>
                  </pic:spPr>
                </pic:pic>
              </a:graphicData>
            </a:graphic>
          </wp:inline>
        </w:drawing>
      </w:r>
    </w:p>
    <w:p/>
    <w:p/>
    <w:p/>
    <w:p/>
    <w:p/>
    <w:p>
      <w:pPr>
        <w:pStyle w:val="2"/>
      </w:pPr>
      <w:r>
        <w:drawing>
          <wp:inline distT="0" distB="0" distL="114300" distR="114300">
            <wp:extent cx="5270500" cy="2421255"/>
            <wp:effectExtent l="0" t="0" r="0" b="4445"/>
            <wp:docPr id="245"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34"/>
                    <pic:cNvPicPr>
                      <a:picLocks noChangeAspect="1"/>
                    </pic:cNvPicPr>
                  </pic:nvPicPr>
                  <pic:blipFill>
                    <a:blip r:embed="rId25"/>
                    <a:stretch>
                      <a:fillRect/>
                    </a:stretch>
                  </pic:blipFill>
                  <pic:spPr>
                    <a:xfrm>
                      <a:off x="0" y="0"/>
                      <a:ext cx="5270500" cy="2421255"/>
                    </a:xfrm>
                    <a:prstGeom prst="rect">
                      <a:avLst/>
                    </a:prstGeom>
                    <a:noFill/>
                    <a:ln>
                      <a:noFill/>
                    </a:ln>
                  </pic:spPr>
                </pic:pic>
              </a:graphicData>
            </a:graphic>
          </wp:inline>
        </w:drawing>
      </w:r>
    </w:p>
    <w:p/>
    <w:p/>
    <w:p>
      <w:pPr>
        <w:pStyle w:val="2"/>
      </w:pPr>
    </w:p>
    <w:p/>
    <w:p>
      <w:pPr>
        <w:pStyle w:val="2"/>
      </w:pPr>
    </w:p>
    <w:p/>
    <w:p/>
    <w:p/>
    <w:p/>
    <w:p/>
    <w:p/>
    <w:p>
      <w:pPr>
        <w:widowControl/>
        <w:spacing w:line="560" w:lineRule="exact"/>
        <w:rPr>
          <w:rFonts w:hint="eastAsia" w:ascii="仿宋_GB2312" w:hAnsi="Cambria" w:eastAsia="仿宋_GB2312" w:cs="ArialUnicodeMS"/>
          <w:kern w:val="0"/>
          <w:sz w:val="32"/>
          <w:szCs w:val="32"/>
          <w:lang w:eastAsia="zh-CN"/>
        </w:rPr>
      </w:pPr>
    </w:p>
    <w:p/>
    <w:p/>
    <w:p>
      <w:pPr>
        <w:pStyle w:val="2"/>
      </w:pPr>
    </w:p>
    <w:p/>
    <w:p>
      <w:pPr>
        <w:rPr>
          <w:rFonts w:hint="eastAsia"/>
          <w:lang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6FF" w:usb1="420024FF" w:usb2="02000000" w:usb3="00000000" w:csb0="2000019F" w:csb1="00000000"/>
  </w:font>
  <w:font w:name="DengXian-Bold">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4C2F6"/>
    <w:multiLevelType w:val="singleLevel"/>
    <w:tmpl w:val="31D4C2F6"/>
    <w:lvl w:ilvl="0" w:tentative="0">
      <w:start w:val="1"/>
      <w:numFmt w:val="chineseCounting"/>
      <w:suff w:val="nothing"/>
      <w:lvlText w:val="（%1）"/>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OTdiNjQ0ZWNiZjY4MmQ2ZDE4YjdiZjAwZmFkMmEifQ=="/>
  </w:docVars>
  <w:rsids>
    <w:rsidRoot w:val="00172A27"/>
    <w:rsid w:val="0002515A"/>
    <w:rsid w:val="000B78AE"/>
    <w:rsid w:val="000D4467"/>
    <w:rsid w:val="000D748B"/>
    <w:rsid w:val="00280C2E"/>
    <w:rsid w:val="00326B48"/>
    <w:rsid w:val="00425EB3"/>
    <w:rsid w:val="0043062D"/>
    <w:rsid w:val="004365C4"/>
    <w:rsid w:val="00464188"/>
    <w:rsid w:val="004B32A7"/>
    <w:rsid w:val="005013BE"/>
    <w:rsid w:val="00520045"/>
    <w:rsid w:val="0057085F"/>
    <w:rsid w:val="006325DF"/>
    <w:rsid w:val="00634643"/>
    <w:rsid w:val="006703CC"/>
    <w:rsid w:val="00743D38"/>
    <w:rsid w:val="007B7A06"/>
    <w:rsid w:val="0082411B"/>
    <w:rsid w:val="008339D3"/>
    <w:rsid w:val="00855478"/>
    <w:rsid w:val="008D2564"/>
    <w:rsid w:val="008F3C5D"/>
    <w:rsid w:val="0095011B"/>
    <w:rsid w:val="00960C6B"/>
    <w:rsid w:val="00A52C3F"/>
    <w:rsid w:val="00B132A9"/>
    <w:rsid w:val="00B34420"/>
    <w:rsid w:val="00BE5590"/>
    <w:rsid w:val="00C32044"/>
    <w:rsid w:val="00C53B44"/>
    <w:rsid w:val="00D660D3"/>
    <w:rsid w:val="00D80CDB"/>
    <w:rsid w:val="00DC1821"/>
    <w:rsid w:val="00E031E1"/>
    <w:rsid w:val="00E40B79"/>
    <w:rsid w:val="00E67ABD"/>
    <w:rsid w:val="00E9014A"/>
    <w:rsid w:val="00F00AF8"/>
    <w:rsid w:val="00F7065F"/>
    <w:rsid w:val="00FA024B"/>
    <w:rsid w:val="00FC3880"/>
    <w:rsid w:val="00FC69A2"/>
    <w:rsid w:val="00FF637D"/>
    <w:rsid w:val="0178495D"/>
    <w:rsid w:val="01C81EDB"/>
    <w:rsid w:val="0208054B"/>
    <w:rsid w:val="037203C5"/>
    <w:rsid w:val="0511209E"/>
    <w:rsid w:val="05487A70"/>
    <w:rsid w:val="07697D31"/>
    <w:rsid w:val="08053EFD"/>
    <w:rsid w:val="0B99455B"/>
    <w:rsid w:val="0CB32919"/>
    <w:rsid w:val="0CD136A0"/>
    <w:rsid w:val="0D587C32"/>
    <w:rsid w:val="0E5C788E"/>
    <w:rsid w:val="0FC621C4"/>
    <w:rsid w:val="10877CD4"/>
    <w:rsid w:val="1188584E"/>
    <w:rsid w:val="121379E9"/>
    <w:rsid w:val="124A5045"/>
    <w:rsid w:val="1352526C"/>
    <w:rsid w:val="14551D69"/>
    <w:rsid w:val="14D02DF5"/>
    <w:rsid w:val="15C251DC"/>
    <w:rsid w:val="16931292"/>
    <w:rsid w:val="1A2E7D32"/>
    <w:rsid w:val="1A55094C"/>
    <w:rsid w:val="1AC87275"/>
    <w:rsid w:val="1C8925AF"/>
    <w:rsid w:val="1DAA37DA"/>
    <w:rsid w:val="1EC32895"/>
    <w:rsid w:val="1F0C4CAA"/>
    <w:rsid w:val="1F1E1BC6"/>
    <w:rsid w:val="20DA11DD"/>
    <w:rsid w:val="211E04DE"/>
    <w:rsid w:val="23671B55"/>
    <w:rsid w:val="23C76222"/>
    <w:rsid w:val="2518388C"/>
    <w:rsid w:val="25E92392"/>
    <w:rsid w:val="286F30C5"/>
    <w:rsid w:val="2B420D04"/>
    <w:rsid w:val="2C194214"/>
    <w:rsid w:val="2DAE75E6"/>
    <w:rsid w:val="2DEB1328"/>
    <w:rsid w:val="2F5C1CB3"/>
    <w:rsid w:val="2FB944A8"/>
    <w:rsid w:val="30BA6296"/>
    <w:rsid w:val="32DC56D7"/>
    <w:rsid w:val="336E000E"/>
    <w:rsid w:val="358A6B3D"/>
    <w:rsid w:val="374668BF"/>
    <w:rsid w:val="38D5425C"/>
    <w:rsid w:val="3AFF30F7"/>
    <w:rsid w:val="3B4E14F1"/>
    <w:rsid w:val="3C1F10D4"/>
    <w:rsid w:val="3D9F7A2D"/>
    <w:rsid w:val="3E366E69"/>
    <w:rsid w:val="3E401D38"/>
    <w:rsid w:val="3ECB3E98"/>
    <w:rsid w:val="400F5F1A"/>
    <w:rsid w:val="41405083"/>
    <w:rsid w:val="42684CD0"/>
    <w:rsid w:val="43043EA4"/>
    <w:rsid w:val="431C742A"/>
    <w:rsid w:val="44880606"/>
    <w:rsid w:val="45E51B79"/>
    <w:rsid w:val="46174344"/>
    <w:rsid w:val="462A38F1"/>
    <w:rsid w:val="471A5D9C"/>
    <w:rsid w:val="480C3F11"/>
    <w:rsid w:val="49014601"/>
    <w:rsid w:val="4AF61097"/>
    <w:rsid w:val="4B2332B0"/>
    <w:rsid w:val="4C540C41"/>
    <w:rsid w:val="4C856040"/>
    <w:rsid w:val="4D776F41"/>
    <w:rsid w:val="4D902505"/>
    <w:rsid w:val="4F6B3C13"/>
    <w:rsid w:val="50F11EF6"/>
    <w:rsid w:val="51D04F1B"/>
    <w:rsid w:val="529C4CC2"/>
    <w:rsid w:val="54C83000"/>
    <w:rsid w:val="55B0028A"/>
    <w:rsid w:val="56BF222F"/>
    <w:rsid w:val="58757B49"/>
    <w:rsid w:val="59842566"/>
    <w:rsid w:val="59AD24FF"/>
    <w:rsid w:val="5C645C72"/>
    <w:rsid w:val="5D5977A1"/>
    <w:rsid w:val="5F394535"/>
    <w:rsid w:val="603968B2"/>
    <w:rsid w:val="63F16D12"/>
    <w:rsid w:val="66270AA3"/>
    <w:rsid w:val="6695686F"/>
    <w:rsid w:val="678A6551"/>
    <w:rsid w:val="67C7768B"/>
    <w:rsid w:val="68EF6A2E"/>
    <w:rsid w:val="69455616"/>
    <w:rsid w:val="69B61AD7"/>
    <w:rsid w:val="6B062357"/>
    <w:rsid w:val="6BC40180"/>
    <w:rsid w:val="6C5F6C0E"/>
    <w:rsid w:val="6DA91C67"/>
    <w:rsid w:val="719C5A86"/>
    <w:rsid w:val="720101F7"/>
    <w:rsid w:val="72D52FC8"/>
    <w:rsid w:val="741A1225"/>
    <w:rsid w:val="75BE753F"/>
    <w:rsid w:val="76943CDE"/>
    <w:rsid w:val="79910067"/>
    <w:rsid w:val="7C140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1"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2.bmp"/><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D:\2020&#24180;&#20915;&#31639;\2020&#24180;&#20915;&#31639;&#20844;&#24320;\&#20915;&#31639;&#20844;&#24320;&#39292;&#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20&#24180;&#20915;&#31639;\2020&#24180;&#20915;&#31639;&#20844;&#24320;\&#20915;&#31639;&#20844;&#24320;&#392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2019-2020年收支总计对比情况（图1）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2019年</c:v>
                </c:pt>
                <c:pt idx="1">
                  <c:v>2020年</c:v>
                </c:pt>
              </c:strCache>
            </c:strRef>
          </c:cat>
          <c:val>
            <c:numRef>
              <c:f>Sheet1!$B$2:$B$3</c:f>
              <c:numCache>
                <c:formatCode>General</c:formatCode>
                <c:ptCount val="2"/>
              </c:numCache>
            </c:numRef>
          </c:val>
        </c:ser>
        <c:ser>
          <c:idx val="1"/>
          <c:order val="1"/>
          <c:tx>
            <c:strRef>
              <c:f>Sheet1!$C$1</c:f>
              <c:strCache>
                <c:ptCount val="1"/>
                <c:pt idx="0">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2019年</c:v>
                </c:pt>
                <c:pt idx="1">
                  <c:v>2020年</c:v>
                </c:pt>
              </c:strCache>
            </c:strRef>
          </c:cat>
          <c:val>
            <c:numRef>
              <c:f>Sheet1!$C$2:$C$3</c:f>
              <c:numCache>
                <c:formatCode>General</c:formatCode>
                <c:ptCount val="2"/>
                <c:pt idx="0">
                  <c:v>4061.92</c:v>
                </c:pt>
                <c:pt idx="1">
                  <c:v>3782.26</c:v>
                </c:pt>
              </c:numCache>
            </c:numRef>
          </c:val>
        </c:ser>
        <c:ser>
          <c:idx val="2"/>
          <c:order val="2"/>
          <c:tx>
            <c:strRef>
              <c:f>Sheet1!$D$1</c:f>
              <c:strCache>
                <c:ptCount val="1"/>
                <c:pt idx="0">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2019年</c:v>
                </c:pt>
                <c:pt idx="1">
                  <c:v>2020年</c:v>
                </c:pt>
              </c:strCache>
            </c:strRef>
          </c:cat>
          <c:val>
            <c:numRef>
              <c:f>Sheet1!$D$2:$D$3</c:f>
              <c:numCache>
                <c:formatCode>General</c:formatCode>
                <c:ptCount val="2"/>
              </c:numCache>
            </c:numRef>
          </c:val>
        </c:ser>
        <c:dLbls>
          <c:showLegendKey val="0"/>
          <c:showVal val="1"/>
          <c:showCatName val="0"/>
          <c:showSerName val="0"/>
          <c:showPercent val="0"/>
          <c:showBubbleSize val="0"/>
        </c:dLbls>
        <c:gapWidth val="100"/>
        <c:overlap val="-24"/>
        <c:axId val="17216753"/>
        <c:axId val="54700571"/>
      </c:barChart>
      <c:catAx>
        <c:axId val="17216753"/>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54700571"/>
        <c:crosses val="autoZero"/>
        <c:auto val="1"/>
        <c:lblAlgn val="ctr"/>
        <c:lblOffset val="100"/>
        <c:noMultiLvlLbl val="0"/>
      </c:catAx>
      <c:valAx>
        <c:axId val="54700571"/>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1721675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all" baseline="0">
                <a:solidFill>
                  <a:schemeClr val="tx1">
                    <a:lumMod val="65000"/>
                    <a:lumOff val="35000"/>
                  </a:schemeClr>
                </a:solidFill>
                <a:latin typeface="黑体" panose="02010609060101010101" charset="-122"/>
                <a:ea typeface="黑体" panose="02010609060101010101" charset="-122"/>
                <a:cs typeface="+mn-cs"/>
              </a:defRPr>
            </a:pPr>
            <a:r>
              <a:rPr lang="zh-CN" altLang="zh-CN" sz="1800" b="0" i="0" baseline="0">
                <a:effectLst/>
                <a:latin typeface="黑体" panose="02010609060101010101" charset="-122"/>
                <a:ea typeface="黑体" panose="02010609060101010101" charset="-122"/>
              </a:rPr>
              <a:t>收入</a:t>
            </a:r>
            <a:r>
              <a:rPr lang="zh-CN" altLang="en-US" sz="1800" b="0" i="0" baseline="0">
                <a:effectLst/>
                <a:latin typeface="黑体" panose="02010609060101010101" charset="-122"/>
                <a:ea typeface="黑体" panose="02010609060101010101" charset="-122"/>
              </a:rPr>
              <a:t>构成情况（图</a:t>
            </a:r>
            <a:r>
              <a:rPr lang="en-US" altLang="zh-CN" sz="1800" b="0" i="0" baseline="0">
                <a:effectLst/>
                <a:latin typeface="黑体" panose="02010609060101010101" charset="-122"/>
                <a:ea typeface="黑体" panose="02010609060101010101" charset="-122"/>
              </a:rPr>
              <a:t>2</a:t>
            </a:r>
            <a:r>
              <a:rPr lang="zh-CN" altLang="en-US" sz="1800" b="0" i="0" baseline="0">
                <a:effectLst/>
                <a:latin typeface="黑体" panose="02010609060101010101" charset="-122"/>
                <a:ea typeface="黑体" panose="02010609060101010101" charset="-122"/>
              </a:rPr>
              <a:t>）</a:t>
            </a:r>
            <a:endParaRPr lang="en-US" altLang="zh-CN" sz="1800" b="0" i="0" baseline="0">
              <a:effectLst/>
              <a:latin typeface="黑体" panose="02010609060101010101" charset="-122"/>
              <a:ea typeface="黑体" panose="02010609060101010101" charset="-122"/>
            </a:endParaRPr>
          </a:p>
        </c:rich>
      </c:tx>
      <c:layout>
        <c:manualLayout>
          <c:xMode val="edge"/>
          <c:yMode val="edge"/>
          <c:x val="0.253742860425141"/>
          <c:y val="0.818587065955487"/>
        </c:manualLayout>
      </c:layout>
      <c:overlay val="0"/>
      <c:spPr>
        <a:noFill/>
        <a:ln>
          <a:noFill/>
        </a:ln>
        <a:effectLst/>
      </c:spPr>
    </c:title>
    <c:autoTitleDeleted val="0"/>
    <c:view3D>
      <c:rotX val="30"/>
      <c:rotY val="312"/>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598690292717656"/>
          <c:y val="0.0688441000296974"/>
          <c:w val="0.713334946757018"/>
          <c:h val="0.579448621553885"/>
        </c:manualLayout>
      </c:layout>
      <c:pie3DChart>
        <c:varyColors val="1"/>
        <c:ser>
          <c:idx val="0"/>
          <c:order val="0"/>
          <c:tx>
            <c:strRef>
              <c:f>[决算公开饼图.xlsx]收入支出资金对比!$B$1</c:f>
              <c:strCache>
                <c:ptCount val="1"/>
                <c:pt idx="0">
                  <c:v>金额</c:v>
                </c:pt>
              </c:strCache>
            </c:strRef>
          </c:tx>
          <c:explosion val="1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0.0311679083202572"/>
                  <c:y val="0.084231424949609"/>
                </c:manualLayout>
              </c:layout>
              <c:tx>
                <c:rich>
                  <a:bodyPr rot="0" spcFirstLastPara="1" vertOverflow="ellipsis" vert="horz" wrap="square" lIns="38100" tIns="19050" rIns="38100" bIns="19050" anchor="ctr" anchorCtr="1"/>
                  <a:lstStyle/>
                  <a:p>
                    <a:pPr defTabSz="914400">
                      <a:defRPr lang="zh-CN" sz="1000" b="1" i="0" u="none" strike="noStrike" kern="1200" spc="0" baseline="0">
                        <a:solidFill>
                          <a:schemeClr val="accent2"/>
                        </a:solidFill>
                        <a:latin typeface="黑体" panose="02010609060101010101" charset="-122"/>
                        <a:ea typeface="黑体" panose="02010609060101010101" charset="-122"/>
                        <a:cs typeface="+mn-cs"/>
                      </a:defRPr>
                    </a:pPr>
                    <a:r>
                      <a:t>财政拨款收入9</a:t>
                    </a:r>
                    <a:r>
                      <a:rPr lang="en-US" altLang="zh-CN"/>
                      <a:t>9.54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709946893981161"/>
                  <c:y val="0.0823425821382602"/>
                </c:manualLayout>
              </c:layout>
              <c:tx>
                <c:rich>
                  <a:bodyPr rot="0" spcFirstLastPara="1" vertOverflow="ellipsis" vert="horz" wrap="square" lIns="38100" tIns="19050" rIns="38100" bIns="19050" anchor="ctr" anchorCtr="1">
                    <a:spAutoFit/>
                  </a:bodyPr>
                  <a:lstStyle/>
                  <a:p>
                    <a:pPr defTabSz="914400">
                      <a:defRPr lang="zh-CN" sz="1000" b="1" i="0" u="none" strike="noStrike" kern="1200" spc="0" baseline="0">
                        <a:solidFill>
                          <a:schemeClr val="accent4"/>
                        </a:solidFill>
                        <a:latin typeface="黑体" panose="02010609060101010101" charset="-122"/>
                        <a:ea typeface="黑体" panose="02010609060101010101" charset="-122"/>
                        <a:cs typeface="+mn-cs"/>
                      </a:defRPr>
                    </a:pPr>
                    <a:r>
                      <a:t>事业收入0.</a:t>
                    </a:r>
                    <a:r>
                      <a:rPr lang="en-US" altLang="zh-CN"/>
                      <a:t>46</a:t>
                    </a:r>
                    <a:r>
                      <a:t>%</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4"/>
                      </a:solidFill>
                      <a:latin typeface="黑体" panose="02010609060101010101" charset="-122"/>
                      <a:ea typeface="黑体" panose="02010609060101010101" charset="-122"/>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2"/>
                    </a:solidFill>
                    <a:latin typeface="黑体" panose="02010609060101010101" charset="-122"/>
                    <a:ea typeface="黑体" panose="02010609060101010101" charset="-122"/>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[决算公开饼图.xlsx]收入支出资金对比!$A$2:$A$3</c:f>
              <c:strCache>
                <c:ptCount val="2"/>
                <c:pt idx="0">
                  <c:v>财政拨款收入</c:v>
                </c:pt>
                <c:pt idx="1">
                  <c:v>事业收入</c:v>
                </c:pt>
              </c:strCache>
            </c:strRef>
          </c:cat>
          <c:val>
            <c:numRef>
              <c:f>[决算公开饼图.xlsx]收入支出资金对比!$B$2:$B$3</c:f>
              <c:numCache>
                <c:formatCode>#,##0.00</c:formatCode>
                <c:ptCount val="2"/>
                <c:pt idx="0">
                  <c:v>3364.34</c:v>
                </c:pt>
                <c:pt idx="1">
                  <c:v>21.6</c:v>
                </c:pt>
              </c:numCache>
            </c:numRef>
          </c:val>
        </c:ser>
        <c:dLbls>
          <c:showLegendKey val="0"/>
          <c:showVal val="0"/>
          <c:showCatName val="1"/>
          <c:showSerName val="0"/>
          <c:showPercent val="1"/>
          <c:showBubbleSize val="0"/>
        </c:dLbls>
      </c:pie3D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all" baseline="0">
                <a:solidFill>
                  <a:schemeClr val="tx1">
                    <a:lumMod val="65000"/>
                    <a:lumOff val="35000"/>
                  </a:schemeClr>
                </a:solidFill>
                <a:latin typeface="黑体" panose="02010609060101010101" charset="-122"/>
                <a:ea typeface="黑体" panose="02010609060101010101" charset="-122"/>
                <a:cs typeface="+mn-cs"/>
              </a:defRPr>
            </a:pPr>
            <a:r>
              <a:rPr lang="zh-CN" altLang="en-US" sz="1800" b="0" i="0" baseline="0">
                <a:effectLst/>
                <a:latin typeface="黑体" panose="02010609060101010101" charset="-122"/>
                <a:ea typeface="黑体" panose="02010609060101010101" charset="-122"/>
              </a:rPr>
              <a:t>支出构成情况（图</a:t>
            </a:r>
            <a:r>
              <a:rPr lang="en-US" altLang="zh-CN" sz="1800" b="0" i="0" baseline="0">
                <a:effectLst/>
                <a:latin typeface="黑体" panose="02010609060101010101" charset="-122"/>
                <a:ea typeface="黑体" panose="02010609060101010101" charset="-122"/>
              </a:rPr>
              <a:t>3</a:t>
            </a:r>
            <a:r>
              <a:rPr lang="zh-CN" altLang="en-US" sz="1800" b="0" i="0" baseline="0">
                <a:effectLst/>
                <a:latin typeface="黑体" panose="02010609060101010101" charset="-122"/>
                <a:ea typeface="黑体" panose="02010609060101010101" charset="-122"/>
              </a:rPr>
              <a:t>）</a:t>
            </a:r>
            <a:endParaRPr lang="zh-CN" altLang="zh-CN">
              <a:effectLst/>
              <a:latin typeface="黑体" panose="02010609060101010101" charset="-122"/>
              <a:ea typeface="黑体" panose="02010609060101010101" charset="-122"/>
            </a:endParaRPr>
          </a:p>
        </c:rich>
      </c:tx>
      <c:layout>
        <c:manualLayout>
          <c:xMode val="edge"/>
          <c:yMode val="edge"/>
          <c:x val="0.307300923111721"/>
          <c:y val="0.858555741547378"/>
        </c:manualLayout>
      </c:layout>
      <c:overlay val="0"/>
      <c:spPr>
        <a:noFill/>
        <a:ln>
          <a:noFill/>
        </a:ln>
        <a:effectLst/>
      </c:spPr>
    </c:title>
    <c:autoTitleDeleted val="0"/>
    <c:view3D>
      <c:rotX val="30"/>
      <c:rotY val="312"/>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[决算公开饼图.xlsx]收入支出资金对比!$B$8</c:f>
              <c:strCache>
                <c:ptCount val="1"/>
                <c:pt idx="0">
                  <c:v>金额</c:v>
                </c:pt>
              </c:strCache>
            </c:strRef>
          </c:tx>
          <c:explosion val="1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0.0638146793487089"/>
                  <c:y val="-0.0604046370576658"/>
                </c:manualLayout>
              </c:layout>
              <c:tx>
                <c:rich>
                  <a:bodyPr rot="0" spcFirstLastPara="1" vertOverflow="ellipsis" vert="horz" wrap="square" lIns="38100" tIns="19050" rIns="38100" bIns="19050" anchor="ctr" anchorCtr="1"/>
                  <a:lstStyle/>
                  <a:p>
                    <a:pPr defTabSz="914400">
                      <a:defRPr lang="zh-CN" sz="1000" b="1" i="0" u="none" strike="noStrike" kern="1200" spc="0" baseline="0">
                        <a:solidFill>
                          <a:schemeClr val="accent2"/>
                        </a:solidFill>
                        <a:latin typeface="黑体" panose="02010609060101010101" charset="-122"/>
                        <a:ea typeface="黑体" panose="02010609060101010101" charset="-122"/>
                        <a:cs typeface="+mn-cs"/>
                      </a:defRPr>
                    </a:pPr>
                    <a:r>
                      <a:t>基本支出</a:t>
                    </a:r>
                  </a:p>
                  <a:p>
                    <a:pPr defTabSz="914400">
                      <a:defRPr lang="zh-CN" sz="1000" b="1" i="0" u="none" strike="noStrike" kern="1200" spc="0" baseline="0">
                        <a:solidFill>
                          <a:schemeClr val="accent2"/>
                        </a:solidFill>
                        <a:latin typeface="黑体" panose="02010609060101010101" charset="-122"/>
                        <a:ea typeface="黑体" panose="02010609060101010101" charset="-122"/>
                        <a:cs typeface="+mn-cs"/>
                      </a:defRPr>
                    </a:pPr>
                    <a:r>
                      <a:rPr lang="en-US" altLang="zh-CN"/>
                      <a:t>90.9</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67251775957962"/>
                  <c:y val="0.164995262758013"/>
                </c:manualLayout>
              </c:layout>
              <c:tx>
                <c:rich>
                  <a:bodyPr rot="0" spcFirstLastPara="1" vertOverflow="ellipsis" vert="horz" wrap="square" lIns="38100" tIns="19050" rIns="38100" bIns="19050" anchor="ctr" anchorCtr="1"/>
                  <a:lstStyle/>
                  <a:p>
                    <a:pPr defTabSz="914400">
                      <a:defRPr lang="zh-CN" sz="1000" b="1" i="0" u="none" strike="noStrike" kern="1200" spc="0" baseline="0">
                        <a:solidFill>
                          <a:schemeClr val="accent2"/>
                        </a:solidFill>
                        <a:latin typeface="黑体" panose="02010609060101010101" charset="-122"/>
                        <a:ea typeface="黑体" panose="02010609060101010101" charset="-122"/>
                        <a:cs typeface="+mn-cs"/>
                      </a:defRPr>
                    </a:pPr>
                    <a:r>
                      <a:t>项目支出</a:t>
                    </a:r>
                  </a:p>
                  <a:p>
                    <a:pPr defTabSz="914400">
                      <a:defRPr lang="zh-CN" sz="1000" b="1" i="0" u="none" strike="noStrike" kern="1200" spc="0" baseline="0">
                        <a:solidFill>
                          <a:schemeClr val="accent2"/>
                        </a:solidFill>
                        <a:latin typeface="黑体" panose="02010609060101010101" charset="-122"/>
                        <a:ea typeface="黑体" panose="02010609060101010101" charset="-122"/>
                        <a:cs typeface="+mn-cs"/>
                      </a:defRPr>
                    </a:pPr>
                    <a:r>
                      <a:rPr lang="en-US" altLang="zh-CN"/>
                      <a:t>9.1</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2"/>
                    </a:solidFill>
                    <a:latin typeface="黑体" panose="02010609060101010101" charset="-122"/>
                    <a:ea typeface="黑体" panose="02010609060101010101" charset="-122"/>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[决算公开饼图.xlsx]收入支出资金对比!$A$9:$A$10</c:f>
              <c:strCache>
                <c:ptCount val="2"/>
                <c:pt idx="0">
                  <c:v>基本支出</c:v>
                </c:pt>
                <c:pt idx="1">
                  <c:v>项目支出</c:v>
                </c:pt>
              </c:strCache>
            </c:strRef>
          </c:cat>
          <c:val>
            <c:numRef>
              <c:f>[决算公开饼图.xlsx]收入支出资金对比!$B$9:$B$10</c:f>
              <c:numCache>
                <c:formatCode>General</c:formatCode>
                <c:ptCount val="2"/>
                <c:pt idx="0">
                  <c:v>3218.11</c:v>
                </c:pt>
                <c:pt idx="1" c:formatCode="#,##0.00">
                  <c:v>296.85</c:v>
                </c:pt>
              </c:numCache>
            </c:numRef>
          </c:val>
        </c:ser>
        <c:dLbls>
          <c:showLegendKey val="0"/>
          <c:showVal val="0"/>
          <c:showCatName val="1"/>
          <c:showSerName val="0"/>
          <c:showPercent val="1"/>
          <c:showBubbleSize val="0"/>
        </c:dLbls>
      </c:pie3D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AD70A-D707-49AD-97D1-D953BB607E32}">
  <ds:schemaRefs/>
</ds:datastoreItem>
</file>

<file path=docProps/app.xml><?xml version="1.0" encoding="utf-8"?>
<Properties xmlns="http://schemas.openxmlformats.org/officeDocument/2006/extended-properties" xmlns:vt="http://schemas.openxmlformats.org/officeDocument/2006/docPropsVTypes">
  <Template>Normal</Template>
  <Pages>24</Pages>
  <Words>4220</Words>
  <Characters>4631</Characters>
  <Lines>28</Lines>
  <Paragraphs>7</Paragraphs>
  <TotalTime>2</TotalTime>
  <ScaleCrop>false</ScaleCrop>
  <LinksUpToDate>false</LinksUpToDate>
  <CharactersWithSpaces>4777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2021-09-15T04:59:00Z</dcterms:created>
  <dc:creator>25中梁</dc:creator>
  <cp:lastModifiedBy>Administrator</cp:lastModifiedBy>
  <dcterms:modified xsi:type="dcterms:W3CDTF">2022-09-08T09:01:26Z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AA0F44741E3342EBAE10BAB3B7FD5A5A</vt:lpwstr>
  </property>
</Properties>
</file>